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6FDE" w14:textId="7F4CCA68" w:rsidR="00B142ED" w:rsidRPr="00270D99" w:rsidRDefault="00B142ED">
      <w:pPr>
        <w:rPr>
          <w:rFonts w:ascii="Calibri" w:hAnsi="Calibri"/>
          <w:b/>
          <w:bCs/>
          <w:color w:val="FF0000"/>
          <w:szCs w:val="24"/>
        </w:rPr>
      </w:pPr>
      <w:bookmarkStart w:id="0" w:name="_GoBack"/>
      <w:bookmarkEnd w:id="0"/>
      <w:r w:rsidRPr="00B142ED">
        <w:rPr>
          <w:rFonts w:ascii="Calibri" w:hAnsi="Calibri"/>
          <w:b/>
          <w:bCs/>
          <w:szCs w:val="24"/>
        </w:rPr>
        <w:t>KSURS Web Application – Release Notes for KSURS_V1R</w:t>
      </w:r>
      <w:r w:rsidR="008517A0">
        <w:rPr>
          <w:rFonts w:ascii="Calibri" w:hAnsi="Calibri"/>
          <w:b/>
          <w:bCs/>
          <w:szCs w:val="24"/>
        </w:rPr>
        <w:t>5</w:t>
      </w:r>
      <w:proofErr w:type="gramStart"/>
      <w:r w:rsidRPr="00B142ED">
        <w:rPr>
          <w:rFonts w:ascii="Calibri" w:hAnsi="Calibri"/>
          <w:b/>
          <w:bCs/>
          <w:szCs w:val="24"/>
        </w:rPr>
        <w:t>_(</w:t>
      </w:r>
      <w:proofErr w:type="gramEnd"/>
      <w:r w:rsidR="00F81C5A">
        <w:rPr>
          <w:rFonts w:ascii="Calibri" w:hAnsi="Calibri"/>
          <w:b/>
          <w:bCs/>
          <w:szCs w:val="24"/>
        </w:rPr>
        <w:t>1</w:t>
      </w:r>
      <w:r w:rsidR="00E56890">
        <w:rPr>
          <w:rFonts w:ascii="Calibri" w:hAnsi="Calibri"/>
          <w:b/>
          <w:bCs/>
          <w:szCs w:val="24"/>
        </w:rPr>
        <w:t>2</w:t>
      </w:r>
      <w:r w:rsidR="00F81C5A">
        <w:rPr>
          <w:rFonts w:ascii="Calibri" w:hAnsi="Calibri"/>
          <w:b/>
          <w:bCs/>
          <w:szCs w:val="24"/>
        </w:rPr>
        <w:t>.</w:t>
      </w:r>
      <w:r w:rsidR="00E56890">
        <w:rPr>
          <w:rFonts w:ascii="Calibri" w:hAnsi="Calibri"/>
          <w:b/>
          <w:bCs/>
          <w:szCs w:val="24"/>
        </w:rPr>
        <w:t>13</w:t>
      </w:r>
      <w:r w:rsidR="00F81C5A">
        <w:rPr>
          <w:rFonts w:ascii="Calibri" w:hAnsi="Calibri"/>
          <w:b/>
          <w:bCs/>
          <w:szCs w:val="24"/>
        </w:rPr>
        <w:t>.2021</w:t>
      </w:r>
      <w:r w:rsidRPr="00B142ED">
        <w:rPr>
          <w:rFonts w:ascii="Calibri" w:hAnsi="Calibri"/>
          <w:b/>
          <w:bCs/>
          <w:szCs w:val="24"/>
        </w:rPr>
        <w:t>)</w:t>
      </w:r>
    </w:p>
    <w:p w14:paraId="634378C1" w14:textId="5E09E48C" w:rsidR="00B142ED" w:rsidRPr="006C1901" w:rsidRDefault="00B142ED">
      <w:pPr>
        <w:rPr>
          <w:rFonts w:ascii="Calibri" w:hAnsi="Calibri"/>
          <w:szCs w:val="24"/>
        </w:rPr>
      </w:pPr>
      <w:r w:rsidRPr="006C1901">
        <w:rPr>
          <w:rFonts w:ascii="Calibri" w:hAnsi="Calibri"/>
          <w:szCs w:val="24"/>
        </w:rPr>
        <w:t xml:space="preserve">This release contains </w:t>
      </w:r>
      <w:r w:rsidR="006C1901" w:rsidRPr="006C1901">
        <w:rPr>
          <w:rFonts w:ascii="Calibri" w:hAnsi="Calibri"/>
          <w:szCs w:val="24"/>
        </w:rPr>
        <w:t>updates that improve</w:t>
      </w:r>
      <w:r w:rsidR="00F81C5A">
        <w:rPr>
          <w:rFonts w:ascii="Calibri" w:hAnsi="Calibri"/>
          <w:szCs w:val="24"/>
        </w:rPr>
        <w:t>s</w:t>
      </w:r>
      <w:r w:rsidR="006C1901" w:rsidRPr="006C1901">
        <w:rPr>
          <w:rFonts w:ascii="Calibri" w:hAnsi="Calibri"/>
          <w:szCs w:val="24"/>
        </w:rPr>
        <w:t xml:space="preserve"> the accuracy of data collection for some </w:t>
      </w:r>
      <w:proofErr w:type="gramStart"/>
      <w:r w:rsidR="006C1901" w:rsidRPr="006C1901">
        <w:rPr>
          <w:rFonts w:ascii="Calibri" w:hAnsi="Calibri"/>
          <w:szCs w:val="24"/>
        </w:rPr>
        <w:t>fields, and</w:t>
      </w:r>
      <w:proofErr w:type="gramEnd"/>
      <w:r w:rsidR="006C1901" w:rsidRPr="006C1901">
        <w:rPr>
          <w:rFonts w:ascii="Calibri" w:hAnsi="Calibri"/>
          <w:szCs w:val="24"/>
        </w:rPr>
        <w:t xml:space="preserve"> add</w:t>
      </w:r>
      <w:r w:rsidR="00F81C5A">
        <w:rPr>
          <w:rFonts w:ascii="Calibri" w:hAnsi="Calibri"/>
          <w:szCs w:val="24"/>
        </w:rPr>
        <w:t>s</w:t>
      </w:r>
      <w:r w:rsidR="006C1901" w:rsidRPr="006C1901">
        <w:rPr>
          <w:rFonts w:ascii="Calibri" w:hAnsi="Calibri"/>
          <w:szCs w:val="24"/>
        </w:rPr>
        <w:t xml:space="preserve"> significant new features for </w:t>
      </w:r>
      <w:r w:rsidR="00F81C5A">
        <w:rPr>
          <w:rFonts w:ascii="Calibri" w:hAnsi="Calibri"/>
          <w:szCs w:val="24"/>
        </w:rPr>
        <w:t>Provider Admins and KDADS staff that support KSURS</w:t>
      </w:r>
      <w:r w:rsidR="006C1901" w:rsidRPr="006C1901">
        <w:rPr>
          <w:rFonts w:ascii="Calibri" w:hAnsi="Calibri"/>
          <w:szCs w:val="24"/>
        </w:rPr>
        <w:t xml:space="preserve">. </w:t>
      </w:r>
    </w:p>
    <w:tbl>
      <w:tblPr>
        <w:tblStyle w:val="TableGrid"/>
        <w:tblW w:w="0" w:type="auto"/>
        <w:tblLook w:val="04A0" w:firstRow="1" w:lastRow="0" w:firstColumn="1" w:lastColumn="0" w:noHBand="0" w:noVBand="1"/>
      </w:tblPr>
      <w:tblGrid>
        <w:gridCol w:w="3865"/>
        <w:gridCol w:w="10260"/>
        <w:gridCol w:w="4585"/>
      </w:tblGrid>
      <w:tr w:rsidR="00B142ED" w:rsidRPr="001234EF" w14:paraId="761EDB9D" w14:textId="77777777" w:rsidTr="00E56890">
        <w:tc>
          <w:tcPr>
            <w:tcW w:w="3865" w:type="dxa"/>
          </w:tcPr>
          <w:p w14:paraId="2E7C6D8A" w14:textId="77777777" w:rsidR="00B142ED" w:rsidRPr="001234EF" w:rsidRDefault="00B142ED" w:rsidP="00B142ED">
            <w:pPr>
              <w:jc w:val="center"/>
              <w:rPr>
                <w:rFonts w:asciiTheme="minorHAnsi" w:hAnsiTheme="minorHAnsi" w:cstheme="minorHAnsi"/>
                <w:b/>
                <w:sz w:val="20"/>
                <w:szCs w:val="20"/>
              </w:rPr>
            </w:pPr>
            <w:r w:rsidRPr="001234EF">
              <w:rPr>
                <w:rFonts w:asciiTheme="minorHAnsi" w:hAnsiTheme="minorHAnsi" w:cstheme="minorHAnsi"/>
                <w:b/>
                <w:sz w:val="20"/>
                <w:szCs w:val="20"/>
              </w:rPr>
              <w:t>Update</w:t>
            </w:r>
          </w:p>
        </w:tc>
        <w:tc>
          <w:tcPr>
            <w:tcW w:w="10260" w:type="dxa"/>
          </w:tcPr>
          <w:p w14:paraId="76831069" w14:textId="77777777" w:rsidR="00B142ED" w:rsidRPr="001234EF" w:rsidRDefault="00B142ED" w:rsidP="00B142ED">
            <w:pPr>
              <w:jc w:val="center"/>
              <w:rPr>
                <w:rFonts w:asciiTheme="minorHAnsi" w:hAnsiTheme="minorHAnsi" w:cstheme="minorHAnsi"/>
                <w:b/>
                <w:sz w:val="20"/>
                <w:szCs w:val="20"/>
              </w:rPr>
            </w:pPr>
            <w:r w:rsidRPr="001234EF">
              <w:rPr>
                <w:rFonts w:asciiTheme="minorHAnsi" w:hAnsiTheme="minorHAnsi" w:cstheme="minorHAnsi"/>
                <w:b/>
                <w:sz w:val="20"/>
                <w:szCs w:val="20"/>
              </w:rPr>
              <w:t>Result</w:t>
            </w:r>
          </w:p>
        </w:tc>
        <w:tc>
          <w:tcPr>
            <w:tcW w:w="4585" w:type="dxa"/>
          </w:tcPr>
          <w:p w14:paraId="1D197EB6" w14:textId="19F51ABC" w:rsidR="00B142ED" w:rsidRPr="001234EF" w:rsidRDefault="00E56890" w:rsidP="00B142ED">
            <w:pPr>
              <w:jc w:val="center"/>
              <w:rPr>
                <w:rFonts w:asciiTheme="minorHAnsi" w:hAnsiTheme="minorHAnsi" w:cstheme="minorHAnsi"/>
                <w:b/>
                <w:sz w:val="20"/>
                <w:szCs w:val="20"/>
              </w:rPr>
            </w:pPr>
            <w:r>
              <w:rPr>
                <w:rFonts w:asciiTheme="minorHAnsi" w:hAnsiTheme="minorHAnsi" w:cstheme="minorHAnsi"/>
                <w:b/>
                <w:sz w:val="20"/>
                <w:szCs w:val="20"/>
              </w:rPr>
              <w:t>Comments</w:t>
            </w:r>
          </w:p>
        </w:tc>
      </w:tr>
      <w:tr w:rsidR="00B142ED" w:rsidRPr="001234EF" w14:paraId="1C7F85CC" w14:textId="77777777" w:rsidTr="00E56890">
        <w:tc>
          <w:tcPr>
            <w:tcW w:w="3865" w:type="dxa"/>
          </w:tcPr>
          <w:p w14:paraId="18DC0B87" w14:textId="77777777" w:rsidR="00B142ED" w:rsidRPr="001234EF" w:rsidRDefault="00B142ED" w:rsidP="00B142ED">
            <w:pPr>
              <w:rPr>
                <w:rFonts w:asciiTheme="minorHAnsi" w:hAnsiTheme="minorHAnsi" w:cstheme="minorHAnsi"/>
                <w:b/>
                <w:sz w:val="20"/>
                <w:szCs w:val="20"/>
              </w:rPr>
            </w:pPr>
            <w:r w:rsidRPr="001234EF">
              <w:rPr>
                <w:rFonts w:asciiTheme="minorHAnsi" w:hAnsiTheme="minorHAnsi" w:cstheme="minorHAnsi"/>
                <w:b/>
                <w:sz w:val="20"/>
                <w:szCs w:val="20"/>
              </w:rPr>
              <w:t>New Features:</w:t>
            </w:r>
          </w:p>
        </w:tc>
        <w:tc>
          <w:tcPr>
            <w:tcW w:w="10260" w:type="dxa"/>
          </w:tcPr>
          <w:p w14:paraId="4CB2E653" w14:textId="77777777" w:rsidR="00B142ED" w:rsidRPr="001234EF" w:rsidRDefault="00B142ED" w:rsidP="00705350">
            <w:pPr>
              <w:jc w:val="center"/>
              <w:rPr>
                <w:rFonts w:asciiTheme="minorHAnsi" w:hAnsiTheme="minorHAnsi" w:cstheme="minorHAnsi"/>
                <w:b/>
                <w:sz w:val="20"/>
                <w:szCs w:val="20"/>
              </w:rPr>
            </w:pPr>
          </w:p>
        </w:tc>
        <w:tc>
          <w:tcPr>
            <w:tcW w:w="4585" w:type="dxa"/>
          </w:tcPr>
          <w:p w14:paraId="063AE568" w14:textId="77777777" w:rsidR="00B142ED" w:rsidRPr="001234EF" w:rsidRDefault="00B142ED" w:rsidP="00705350">
            <w:pPr>
              <w:jc w:val="center"/>
              <w:rPr>
                <w:rFonts w:asciiTheme="minorHAnsi" w:hAnsiTheme="minorHAnsi" w:cstheme="minorHAnsi"/>
                <w:b/>
                <w:sz w:val="20"/>
                <w:szCs w:val="20"/>
              </w:rPr>
            </w:pPr>
          </w:p>
        </w:tc>
      </w:tr>
      <w:tr w:rsidR="00270D99" w:rsidRPr="001234EF" w14:paraId="1E537D26" w14:textId="77777777" w:rsidTr="00E56890">
        <w:tc>
          <w:tcPr>
            <w:tcW w:w="3865" w:type="dxa"/>
          </w:tcPr>
          <w:p w14:paraId="77E28ED6" w14:textId="68DB5690" w:rsidR="00270D99" w:rsidRDefault="00270D99"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 xml:space="preserve">Added </w:t>
            </w:r>
            <w:r w:rsidRPr="00445E41">
              <w:rPr>
                <w:rFonts w:asciiTheme="minorHAnsi" w:hAnsiTheme="minorHAnsi" w:cstheme="minorHAnsi"/>
                <w:i/>
                <w:iCs/>
                <w:sz w:val="20"/>
                <w:szCs w:val="20"/>
              </w:rPr>
              <w:t>Criminal Justice Referral</w:t>
            </w:r>
            <w:r>
              <w:rPr>
                <w:rFonts w:asciiTheme="minorHAnsi" w:hAnsiTheme="minorHAnsi" w:cstheme="minorHAnsi"/>
                <w:sz w:val="20"/>
                <w:szCs w:val="20"/>
              </w:rPr>
              <w:t xml:space="preserve"> field on Admission page. </w:t>
            </w:r>
          </w:p>
        </w:tc>
        <w:tc>
          <w:tcPr>
            <w:tcW w:w="10260" w:type="dxa"/>
          </w:tcPr>
          <w:p w14:paraId="498E8E52" w14:textId="68F815F8" w:rsidR="00270D99" w:rsidRDefault="00270D99">
            <w:pPr>
              <w:rPr>
                <w:rFonts w:asciiTheme="minorHAnsi" w:hAnsiTheme="minorHAnsi" w:cstheme="minorHAnsi"/>
                <w:sz w:val="20"/>
                <w:szCs w:val="20"/>
              </w:rPr>
            </w:pPr>
            <w:r>
              <w:rPr>
                <w:rFonts w:asciiTheme="minorHAnsi" w:hAnsiTheme="minorHAnsi" w:cstheme="minorHAnsi"/>
                <w:sz w:val="20"/>
                <w:szCs w:val="20"/>
              </w:rPr>
              <w:t>When Referral Source field selection is “</w:t>
            </w:r>
            <w:r w:rsidR="003D758F">
              <w:rPr>
                <w:rFonts w:asciiTheme="minorHAnsi" w:hAnsiTheme="minorHAnsi" w:cstheme="minorHAnsi"/>
                <w:sz w:val="20"/>
                <w:szCs w:val="20"/>
              </w:rPr>
              <w:t>Court/c</w:t>
            </w:r>
            <w:r>
              <w:rPr>
                <w:rFonts w:asciiTheme="minorHAnsi" w:hAnsiTheme="minorHAnsi" w:cstheme="minorHAnsi"/>
                <w:sz w:val="20"/>
                <w:szCs w:val="20"/>
              </w:rPr>
              <w:t xml:space="preserve">riminal </w:t>
            </w:r>
            <w:r w:rsidR="003D758F">
              <w:rPr>
                <w:rFonts w:asciiTheme="minorHAnsi" w:hAnsiTheme="minorHAnsi" w:cstheme="minorHAnsi"/>
                <w:sz w:val="20"/>
                <w:szCs w:val="20"/>
              </w:rPr>
              <w:t>j</w:t>
            </w:r>
            <w:r>
              <w:rPr>
                <w:rFonts w:asciiTheme="minorHAnsi" w:hAnsiTheme="minorHAnsi" w:cstheme="minorHAnsi"/>
                <w:sz w:val="20"/>
                <w:szCs w:val="20"/>
              </w:rPr>
              <w:t xml:space="preserve">ustice </w:t>
            </w:r>
            <w:r w:rsidR="003D758F">
              <w:rPr>
                <w:rFonts w:asciiTheme="minorHAnsi" w:hAnsiTheme="minorHAnsi" w:cstheme="minorHAnsi"/>
                <w:sz w:val="20"/>
                <w:szCs w:val="20"/>
              </w:rPr>
              <w:t>r</w:t>
            </w:r>
            <w:r>
              <w:rPr>
                <w:rFonts w:asciiTheme="minorHAnsi" w:hAnsiTheme="minorHAnsi" w:cstheme="minorHAnsi"/>
                <w:sz w:val="20"/>
                <w:szCs w:val="20"/>
              </w:rPr>
              <w:t>eferral</w:t>
            </w:r>
            <w:r w:rsidR="003D758F">
              <w:rPr>
                <w:rFonts w:asciiTheme="minorHAnsi" w:hAnsiTheme="minorHAnsi" w:cstheme="minorHAnsi"/>
                <w:sz w:val="20"/>
                <w:szCs w:val="20"/>
              </w:rPr>
              <w:t>/DUI/DWI</w:t>
            </w:r>
            <w:r>
              <w:rPr>
                <w:rFonts w:asciiTheme="minorHAnsi" w:hAnsiTheme="minorHAnsi" w:cstheme="minorHAnsi"/>
                <w:sz w:val="20"/>
                <w:szCs w:val="20"/>
              </w:rPr>
              <w:t xml:space="preserve">” </w:t>
            </w:r>
            <w:r w:rsidR="00635080">
              <w:rPr>
                <w:rFonts w:asciiTheme="minorHAnsi" w:hAnsiTheme="minorHAnsi" w:cstheme="minorHAnsi"/>
                <w:sz w:val="20"/>
                <w:szCs w:val="20"/>
              </w:rPr>
              <w:t xml:space="preserve">a value must be selected in the </w:t>
            </w:r>
            <w:r w:rsidR="003D758F">
              <w:rPr>
                <w:rFonts w:asciiTheme="minorHAnsi" w:hAnsiTheme="minorHAnsi" w:cstheme="minorHAnsi"/>
                <w:sz w:val="20"/>
                <w:szCs w:val="20"/>
              </w:rPr>
              <w:t xml:space="preserve">Criminal Justice Referral field </w:t>
            </w:r>
            <w:r w:rsidR="00635080">
              <w:rPr>
                <w:rFonts w:asciiTheme="minorHAnsi" w:hAnsiTheme="minorHAnsi" w:cstheme="minorHAnsi"/>
                <w:sz w:val="20"/>
                <w:szCs w:val="20"/>
              </w:rPr>
              <w:t>that now appears.</w:t>
            </w:r>
            <w:r w:rsidR="003D758F">
              <w:rPr>
                <w:rFonts w:asciiTheme="minorHAnsi" w:hAnsiTheme="minorHAnsi" w:cstheme="minorHAnsi"/>
                <w:sz w:val="20"/>
                <w:szCs w:val="20"/>
              </w:rPr>
              <w:t xml:space="preserve"> If the Referral Source is any other selection, the Criminal Justice Referral field will auto-populate with “Not applicable” and cannot be changed.  </w:t>
            </w:r>
          </w:p>
        </w:tc>
        <w:tc>
          <w:tcPr>
            <w:tcW w:w="4585" w:type="dxa"/>
          </w:tcPr>
          <w:p w14:paraId="7CF6ACE3" w14:textId="50ABF0B3" w:rsidR="00270D99" w:rsidRDefault="003D758F">
            <w:pPr>
              <w:rPr>
                <w:rFonts w:asciiTheme="minorHAnsi" w:hAnsiTheme="minorHAnsi" w:cstheme="minorHAnsi"/>
                <w:sz w:val="20"/>
                <w:szCs w:val="20"/>
              </w:rPr>
            </w:pPr>
            <w:r>
              <w:rPr>
                <w:rFonts w:asciiTheme="minorHAnsi" w:hAnsiTheme="minorHAnsi" w:cstheme="minorHAnsi"/>
                <w:sz w:val="20"/>
                <w:szCs w:val="20"/>
              </w:rPr>
              <w:t xml:space="preserve">The Criminal Justice Referral field must have a value. </w:t>
            </w:r>
          </w:p>
        </w:tc>
      </w:tr>
      <w:tr w:rsidR="00115F0F" w:rsidRPr="001234EF" w14:paraId="6E11FCDD" w14:textId="77777777" w:rsidTr="00E56890">
        <w:tc>
          <w:tcPr>
            <w:tcW w:w="3865" w:type="dxa"/>
          </w:tcPr>
          <w:p w14:paraId="035B5633" w14:textId="2D885132" w:rsidR="00115F0F" w:rsidRDefault="00115F0F"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Inactiv</w:t>
            </w:r>
            <w:r w:rsidR="005E1986">
              <w:rPr>
                <w:rFonts w:asciiTheme="minorHAnsi" w:hAnsiTheme="minorHAnsi" w:cstheme="minorHAnsi"/>
                <w:sz w:val="20"/>
                <w:szCs w:val="20"/>
              </w:rPr>
              <w:t>at</w:t>
            </w:r>
            <w:r>
              <w:rPr>
                <w:rFonts w:asciiTheme="minorHAnsi" w:hAnsiTheme="minorHAnsi" w:cstheme="minorHAnsi"/>
                <w:sz w:val="20"/>
                <w:szCs w:val="20"/>
              </w:rPr>
              <w:t>e Providers</w:t>
            </w:r>
          </w:p>
        </w:tc>
        <w:tc>
          <w:tcPr>
            <w:tcW w:w="10260" w:type="dxa"/>
          </w:tcPr>
          <w:p w14:paraId="620699F9" w14:textId="0CA110C6" w:rsidR="00115F0F" w:rsidRDefault="00115F0F">
            <w:pPr>
              <w:rPr>
                <w:rFonts w:asciiTheme="minorHAnsi" w:hAnsiTheme="minorHAnsi" w:cstheme="minorHAnsi"/>
                <w:sz w:val="20"/>
                <w:szCs w:val="20"/>
              </w:rPr>
            </w:pPr>
            <w:r>
              <w:rPr>
                <w:rFonts w:asciiTheme="minorHAnsi" w:hAnsiTheme="minorHAnsi" w:cstheme="minorHAnsi"/>
                <w:sz w:val="20"/>
                <w:szCs w:val="20"/>
              </w:rPr>
              <w:t xml:space="preserve">The KDADS </w:t>
            </w:r>
            <w:r w:rsidR="00635080">
              <w:rPr>
                <w:rFonts w:asciiTheme="minorHAnsi" w:hAnsiTheme="minorHAnsi" w:cstheme="minorHAnsi"/>
                <w:sz w:val="20"/>
                <w:szCs w:val="20"/>
              </w:rPr>
              <w:t>Provider Approver</w:t>
            </w:r>
            <w:r>
              <w:rPr>
                <w:rFonts w:asciiTheme="minorHAnsi" w:hAnsiTheme="minorHAnsi" w:cstheme="minorHAnsi"/>
                <w:sz w:val="20"/>
                <w:szCs w:val="20"/>
              </w:rPr>
              <w:t xml:space="preserve"> (</w:t>
            </w:r>
            <w:r w:rsidR="00635080">
              <w:rPr>
                <w:rFonts w:asciiTheme="minorHAnsi" w:hAnsiTheme="minorHAnsi" w:cstheme="minorHAnsi"/>
                <w:sz w:val="20"/>
                <w:szCs w:val="20"/>
              </w:rPr>
              <w:t xml:space="preserve">KDADS </w:t>
            </w:r>
            <w:r>
              <w:rPr>
                <w:rFonts w:asciiTheme="minorHAnsi" w:hAnsiTheme="minorHAnsi" w:cstheme="minorHAnsi"/>
                <w:sz w:val="20"/>
                <w:szCs w:val="20"/>
              </w:rPr>
              <w:t xml:space="preserve">staff that processes Provider registrations) can inactivate a </w:t>
            </w:r>
            <w:r w:rsidR="00635080">
              <w:rPr>
                <w:rFonts w:asciiTheme="minorHAnsi" w:hAnsiTheme="minorHAnsi" w:cstheme="minorHAnsi"/>
                <w:sz w:val="20"/>
                <w:szCs w:val="20"/>
              </w:rPr>
              <w:t>p</w:t>
            </w:r>
            <w:r>
              <w:rPr>
                <w:rFonts w:asciiTheme="minorHAnsi" w:hAnsiTheme="minorHAnsi" w:cstheme="minorHAnsi"/>
                <w:sz w:val="20"/>
                <w:szCs w:val="20"/>
              </w:rPr>
              <w:t>rovider</w:t>
            </w:r>
            <w:r w:rsidR="00635080">
              <w:rPr>
                <w:rFonts w:asciiTheme="minorHAnsi" w:hAnsiTheme="minorHAnsi" w:cstheme="minorHAnsi"/>
                <w:sz w:val="20"/>
                <w:szCs w:val="20"/>
              </w:rPr>
              <w:t xml:space="preserve"> location </w:t>
            </w:r>
            <w:r w:rsidR="00E56890">
              <w:rPr>
                <w:rFonts w:asciiTheme="minorHAnsi" w:hAnsiTheme="minorHAnsi" w:cstheme="minorHAnsi"/>
                <w:sz w:val="20"/>
                <w:szCs w:val="20"/>
              </w:rPr>
              <w:t xml:space="preserve">after the provider’s registration was previously approved. </w:t>
            </w:r>
          </w:p>
        </w:tc>
        <w:tc>
          <w:tcPr>
            <w:tcW w:w="4585" w:type="dxa"/>
          </w:tcPr>
          <w:p w14:paraId="324DCF2F" w14:textId="55D6B63E" w:rsidR="00115F0F" w:rsidRDefault="00635080">
            <w:pPr>
              <w:rPr>
                <w:rFonts w:asciiTheme="minorHAnsi" w:hAnsiTheme="minorHAnsi" w:cstheme="minorHAnsi"/>
                <w:sz w:val="20"/>
                <w:szCs w:val="20"/>
              </w:rPr>
            </w:pPr>
            <w:r>
              <w:rPr>
                <w:rFonts w:asciiTheme="minorHAnsi" w:hAnsiTheme="minorHAnsi" w:cstheme="minorHAnsi"/>
                <w:sz w:val="20"/>
                <w:szCs w:val="20"/>
              </w:rPr>
              <w:t xml:space="preserve">Examples of when to use this: </w:t>
            </w:r>
            <w:r w:rsidR="00115F0F">
              <w:rPr>
                <w:rFonts w:asciiTheme="minorHAnsi" w:hAnsiTheme="minorHAnsi" w:cstheme="minorHAnsi"/>
                <w:sz w:val="20"/>
                <w:szCs w:val="20"/>
              </w:rPr>
              <w:t xml:space="preserve">when a Provider goes out of business, </w:t>
            </w:r>
            <w:r w:rsidR="00E56890">
              <w:rPr>
                <w:rFonts w:asciiTheme="minorHAnsi" w:hAnsiTheme="minorHAnsi" w:cstheme="minorHAnsi"/>
                <w:sz w:val="20"/>
                <w:szCs w:val="20"/>
              </w:rPr>
              <w:t xml:space="preserve">or </w:t>
            </w:r>
            <w:r w:rsidR="00115F0F">
              <w:rPr>
                <w:rFonts w:asciiTheme="minorHAnsi" w:hAnsiTheme="minorHAnsi" w:cstheme="minorHAnsi"/>
                <w:sz w:val="20"/>
                <w:szCs w:val="20"/>
              </w:rPr>
              <w:t>if a change to the Provider results in a new license number</w:t>
            </w:r>
            <w:r w:rsidR="00E56890">
              <w:rPr>
                <w:rFonts w:asciiTheme="minorHAnsi" w:hAnsiTheme="minorHAnsi" w:cstheme="minorHAnsi"/>
                <w:sz w:val="20"/>
                <w:szCs w:val="20"/>
              </w:rPr>
              <w:t xml:space="preserve">. </w:t>
            </w:r>
            <w:r w:rsidR="00115F0F">
              <w:rPr>
                <w:rFonts w:asciiTheme="minorHAnsi" w:hAnsiTheme="minorHAnsi" w:cstheme="minorHAnsi"/>
                <w:sz w:val="20"/>
                <w:szCs w:val="20"/>
              </w:rPr>
              <w:t xml:space="preserve"> </w:t>
            </w:r>
            <w:r w:rsidR="00AD65DD">
              <w:rPr>
                <w:rFonts w:asciiTheme="minorHAnsi" w:hAnsiTheme="minorHAnsi" w:cstheme="minorHAnsi"/>
                <w:sz w:val="20"/>
                <w:szCs w:val="20"/>
              </w:rPr>
              <w:t xml:space="preserve"> </w:t>
            </w:r>
          </w:p>
        </w:tc>
      </w:tr>
      <w:tr w:rsidR="003D758F" w:rsidRPr="001234EF" w14:paraId="2264CB9E" w14:textId="77777777" w:rsidTr="00E56890">
        <w:tc>
          <w:tcPr>
            <w:tcW w:w="3865" w:type="dxa"/>
          </w:tcPr>
          <w:p w14:paraId="7DAEBF4C" w14:textId="259E722E" w:rsidR="003D758F" w:rsidRDefault="003D758F"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New Help Desk Support role</w:t>
            </w:r>
          </w:p>
        </w:tc>
        <w:tc>
          <w:tcPr>
            <w:tcW w:w="10260" w:type="dxa"/>
          </w:tcPr>
          <w:p w14:paraId="33EDBD86" w14:textId="133404E6" w:rsidR="003D758F" w:rsidRDefault="003D758F">
            <w:pPr>
              <w:rPr>
                <w:rFonts w:asciiTheme="minorHAnsi" w:hAnsiTheme="minorHAnsi" w:cstheme="minorHAnsi"/>
                <w:sz w:val="20"/>
                <w:szCs w:val="20"/>
              </w:rPr>
            </w:pPr>
            <w:r>
              <w:rPr>
                <w:rFonts w:asciiTheme="minorHAnsi" w:hAnsiTheme="minorHAnsi" w:cstheme="minorHAnsi"/>
                <w:sz w:val="20"/>
                <w:szCs w:val="20"/>
              </w:rPr>
              <w:t xml:space="preserve">A new role was created allowing the KDADS Applications Help Desk staff to provide a higher level of support </w:t>
            </w:r>
            <w:r w:rsidR="009A5740">
              <w:rPr>
                <w:rFonts w:asciiTheme="minorHAnsi" w:hAnsiTheme="minorHAnsi" w:cstheme="minorHAnsi"/>
                <w:sz w:val="20"/>
                <w:szCs w:val="20"/>
              </w:rPr>
              <w:t xml:space="preserve">for </w:t>
            </w:r>
            <w:r>
              <w:rPr>
                <w:rFonts w:asciiTheme="minorHAnsi" w:hAnsiTheme="minorHAnsi" w:cstheme="minorHAnsi"/>
                <w:sz w:val="20"/>
                <w:szCs w:val="20"/>
              </w:rPr>
              <w:t>providers when the</w:t>
            </w:r>
            <w:r w:rsidR="009A5740">
              <w:rPr>
                <w:rFonts w:asciiTheme="minorHAnsi" w:hAnsiTheme="minorHAnsi" w:cstheme="minorHAnsi"/>
                <w:sz w:val="20"/>
                <w:szCs w:val="20"/>
              </w:rPr>
              <w:t xml:space="preserve">y encounter login or </w:t>
            </w:r>
            <w:r>
              <w:rPr>
                <w:rFonts w:asciiTheme="minorHAnsi" w:hAnsiTheme="minorHAnsi" w:cstheme="minorHAnsi"/>
                <w:sz w:val="20"/>
                <w:szCs w:val="20"/>
              </w:rPr>
              <w:t xml:space="preserve">data issues. </w:t>
            </w:r>
          </w:p>
        </w:tc>
        <w:tc>
          <w:tcPr>
            <w:tcW w:w="4585" w:type="dxa"/>
          </w:tcPr>
          <w:p w14:paraId="428C7B59" w14:textId="005DF596" w:rsidR="003D758F" w:rsidRDefault="009A5740">
            <w:pPr>
              <w:rPr>
                <w:rFonts w:asciiTheme="minorHAnsi" w:hAnsiTheme="minorHAnsi" w:cstheme="minorHAnsi"/>
                <w:sz w:val="20"/>
                <w:szCs w:val="20"/>
              </w:rPr>
            </w:pPr>
            <w:r>
              <w:rPr>
                <w:rFonts w:asciiTheme="minorHAnsi" w:hAnsiTheme="minorHAnsi" w:cstheme="minorHAnsi"/>
                <w:sz w:val="20"/>
                <w:szCs w:val="20"/>
              </w:rPr>
              <w:t xml:space="preserve">Contact the KDADS Applications Help Desk for any KSURS issues. </w:t>
            </w:r>
          </w:p>
        </w:tc>
      </w:tr>
      <w:tr w:rsidR="009A5740" w:rsidRPr="001234EF" w14:paraId="23359B6E" w14:textId="77777777" w:rsidTr="00E56890">
        <w:tc>
          <w:tcPr>
            <w:tcW w:w="3865" w:type="dxa"/>
          </w:tcPr>
          <w:p w14:paraId="468AC0A3" w14:textId="26C2CDAE" w:rsidR="009A5740" w:rsidRDefault="0025703C"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Bulk Load errors viewable for multiple provider locations via single login</w:t>
            </w:r>
          </w:p>
        </w:tc>
        <w:tc>
          <w:tcPr>
            <w:tcW w:w="10260" w:type="dxa"/>
          </w:tcPr>
          <w:p w14:paraId="540D028F" w14:textId="40F7EF2E" w:rsidR="009A5740" w:rsidRDefault="0025703C">
            <w:pPr>
              <w:rPr>
                <w:rFonts w:asciiTheme="minorHAnsi" w:hAnsiTheme="minorHAnsi" w:cstheme="minorHAnsi"/>
                <w:sz w:val="20"/>
                <w:szCs w:val="20"/>
              </w:rPr>
            </w:pPr>
            <w:r>
              <w:rPr>
                <w:rFonts w:asciiTheme="minorHAnsi" w:hAnsiTheme="minorHAnsi" w:cstheme="minorHAnsi"/>
                <w:sz w:val="20"/>
                <w:szCs w:val="20"/>
              </w:rPr>
              <w:t xml:space="preserve">When a </w:t>
            </w:r>
            <w:r w:rsidR="00635080">
              <w:rPr>
                <w:rFonts w:asciiTheme="minorHAnsi" w:hAnsiTheme="minorHAnsi" w:cstheme="minorHAnsi"/>
                <w:sz w:val="20"/>
                <w:szCs w:val="20"/>
              </w:rPr>
              <w:t xml:space="preserve">single </w:t>
            </w:r>
            <w:r>
              <w:rPr>
                <w:rFonts w:asciiTheme="minorHAnsi" w:hAnsiTheme="minorHAnsi" w:cstheme="minorHAnsi"/>
                <w:sz w:val="20"/>
                <w:szCs w:val="20"/>
              </w:rPr>
              <w:t>provider</w:t>
            </w:r>
            <w:r w:rsidR="00635080">
              <w:rPr>
                <w:rFonts w:asciiTheme="minorHAnsi" w:hAnsiTheme="minorHAnsi" w:cstheme="minorHAnsi"/>
                <w:sz w:val="20"/>
                <w:szCs w:val="20"/>
              </w:rPr>
              <w:t xml:space="preserve"> admin</w:t>
            </w:r>
            <w:r>
              <w:rPr>
                <w:rFonts w:asciiTheme="minorHAnsi" w:hAnsiTheme="minorHAnsi" w:cstheme="minorHAnsi"/>
                <w:sz w:val="20"/>
                <w:szCs w:val="20"/>
              </w:rPr>
              <w:t xml:space="preserve"> </w:t>
            </w:r>
            <w:r w:rsidR="00635080">
              <w:rPr>
                <w:rFonts w:asciiTheme="minorHAnsi" w:hAnsiTheme="minorHAnsi" w:cstheme="minorHAnsi"/>
                <w:sz w:val="20"/>
                <w:szCs w:val="20"/>
              </w:rPr>
              <w:t xml:space="preserve">or user </w:t>
            </w:r>
            <w:r>
              <w:rPr>
                <w:rFonts w:asciiTheme="minorHAnsi" w:hAnsiTheme="minorHAnsi" w:cstheme="minorHAnsi"/>
                <w:sz w:val="20"/>
                <w:szCs w:val="20"/>
              </w:rPr>
              <w:t xml:space="preserve">uploads data for multiple locations, all errors for all locations can be viewed from a single provider login account, as long as the email address of the logged in user or provider admin matches the user/provider admin accounts of the other locations. </w:t>
            </w:r>
          </w:p>
        </w:tc>
        <w:tc>
          <w:tcPr>
            <w:tcW w:w="4585" w:type="dxa"/>
          </w:tcPr>
          <w:p w14:paraId="1227FD85" w14:textId="35151EB0" w:rsidR="009A5740" w:rsidRDefault="00445E41">
            <w:pPr>
              <w:rPr>
                <w:rFonts w:asciiTheme="minorHAnsi" w:hAnsiTheme="minorHAnsi" w:cstheme="minorHAnsi"/>
                <w:sz w:val="20"/>
                <w:szCs w:val="20"/>
              </w:rPr>
            </w:pPr>
            <w:r>
              <w:rPr>
                <w:rFonts w:asciiTheme="minorHAnsi" w:hAnsiTheme="minorHAnsi" w:cstheme="minorHAnsi"/>
                <w:sz w:val="20"/>
                <w:szCs w:val="20"/>
              </w:rPr>
              <w:t xml:space="preserve">You only have to login once to see the errors for all your locations from a single bulk load set of files. </w:t>
            </w:r>
          </w:p>
        </w:tc>
      </w:tr>
      <w:tr w:rsidR="0025703C" w:rsidRPr="001234EF" w14:paraId="1CB36365" w14:textId="77777777" w:rsidTr="00E56890">
        <w:tc>
          <w:tcPr>
            <w:tcW w:w="3865" w:type="dxa"/>
          </w:tcPr>
          <w:p w14:paraId="00127B9E" w14:textId="42692DF6" w:rsidR="0025703C" w:rsidRDefault="00E56890"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 xml:space="preserve">Ability to change the Provider Admin for a Provider location. </w:t>
            </w:r>
          </w:p>
        </w:tc>
        <w:tc>
          <w:tcPr>
            <w:tcW w:w="10260" w:type="dxa"/>
          </w:tcPr>
          <w:p w14:paraId="601D1977" w14:textId="66AC5324" w:rsidR="001853AA" w:rsidRDefault="001853AA">
            <w:pPr>
              <w:rPr>
                <w:rFonts w:asciiTheme="minorHAnsi" w:hAnsiTheme="minorHAnsi" w:cstheme="minorHAnsi"/>
                <w:sz w:val="20"/>
                <w:szCs w:val="20"/>
              </w:rPr>
            </w:pPr>
            <w:r>
              <w:rPr>
                <w:rFonts w:asciiTheme="minorHAnsi" w:hAnsiTheme="minorHAnsi" w:cstheme="minorHAnsi"/>
                <w:sz w:val="20"/>
                <w:szCs w:val="20"/>
              </w:rPr>
              <w:t xml:space="preserve">If a provider location needs to change their Provider Admin due to staff </w:t>
            </w:r>
            <w:r w:rsidR="009C1D43">
              <w:rPr>
                <w:rFonts w:asciiTheme="minorHAnsi" w:hAnsiTheme="minorHAnsi" w:cstheme="minorHAnsi"/>
                <w:sz w:val="20"/>
                <w:szCs w:val="20"/>
              </w:rPr>
              <w:t>changes</w:t>
            </w:r>
            <w:r>
              <w:rPr>
                <w:rFonts w:asciiTheme="minorHAnsi" w:hAnsiTheme="minorHAnsi" w:cstheme="minorHAnsi"/>
                <w:sz w:val="20"/>
                <w:szCs w:val="20"/>
              </w:rPr>
              <w:t xml:space="preserve"> or leaves of absence, the provider location can be inactivated so a new Provider Admin can register. The users associated with that location will be temporarily unable to login to KSURS until the new Provider Admin is approved by the KDADS Provider Approver. </w:t>
            </w:r>
          </w:p>
        </w:tc>
        <w:tc>
          <w:tcPr>
            <w:tcW w:w="4585" w:type="dxa"/>
          </w:tcPr>
          <w:p w14:paraId="5766C57E" w14:textId="6BEBDE47" w:rsidR="0025703C" w:rsidRDefault="001853AA">
            <w:pPr>
              <w:rPr>
                <w:rFonts w:asciiTheme="minorHAnsi" w:hAnsiTheme="minorHAnsi" w:cstheme="minorHAnsi"/>
                <w:sz w:val="20"/>
                <w:szCs w:val="20"/>
              </w:rPr>
            </w:pPr>
            <w:r>
              <w:rPr>
                <w:rFonts w:asciiTheme="minorHAnsi" w:hAnsiTheme="minorHAnsi" w:cstheme="minorHAnsi"/>
                <w:sz w:val="20"/>
                <w:szCs w:val="20"/>
              </w:rPr>
              <w:t xml:space="preserve">Contact the KDADS Applications Help Desk for assistance with </w:t>
            </w:r>
            <w:r w:rsidR="00E56890">
              <w:rPr>
                <w:rFonts w:asciiTheme="minorHAnsi" w:hAnsiTheme="minorHAnsi" w:cstheme="minorHAnsi"/>
                <w:sz w:val="20"/>
                <w:szCs w:val="20"/>
              </w:rPr>
              <w:t xml:space="preserve">changing a provider’s Provider Admin account. </w:t>
            </w:r>
            <w:r>
              <w:rPr>
                <w:rFonts w:asciiTheme="minorHAnsi" w:hAnsiTheme="minorHAnsi" w:cstheme="minorHAnsi"/>
                <w:sz w:val="20"/>
                <w:szCs w:val="20"/>
              </w:rPr>
              <w:t xml:space="preserve"> </w:t>
            </w:r>
          </w:p>
        </w:tc>
      </w:tr>
      <w:tr w:rsidR="001853AA" w:rsidRPr="001234EF" w14:paraId="22F6C35D" w14:textId="77777777" w:rsidTr="00E56890">
        <w:tc>
          <w:tcPr>
            <w:tcW w:w="3865" w:type="dxa"/>
          </w:tcPr>
          <w:p w14:paraId="51B244EB" w14:textId="2ABED9A9" w:rsidR="001853AA" w:rsidRDefault="001853AA"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 xml:space="preserve">Provider Admins </w:t>
            </w:r>
            <w:proofErr w:type="gramStart"/>
            <w:r>
              <w:rPr>
                <w:rFonts w:asciiTheme="minorHAnsi" w:hAnsiTheme="minorHAnsi" w:cstheme="minorHAnsi"/>
                <w:sz w:val="20"/>
                <w:szCs w:val="20"/>
              </w:rPr>
              <w:t>have the ability to</w:t>
            </w:r>
            <w:proofErr w:type="gramEnd"/>
            <w:r>
              <w:rPr>
                <w:rFonts w:asciiTheme="minorHAnsi" w:hAnsiTheme="minorHAnsi" w:cstheme="minorHAnsi"/>
                <w:sz w:val="20"/>
                <w:szCs w:val="20"/>
              </w:rPr>
              <w:t xml:space="preserve"> inactivate users within their provider location</w:t>
            </w:r>
          </w:p>
        </w:tc>
        <w:tc>
          <w:tcPr>
            <w:tcW w:w="10260" w:type="dxa"/>
          </w:tcPr>
          <w:p w14:paraId="3F0ADBC4" w14:textId="09E86B9F" w:rsidR="001853AA" w:rsidRDefault="001853AA">
            <w:pPr>
              <w:rPr>
                <w:rFonts w:asciiTheme="minorHAnsi" w:hAnsiTheme="minorHAnsi" w:cstheme="minorHAnsi"/>
                <w:sz w:val="20"/>
                <w:szCs w:val="20"/>
              </w:rPr>
            </w:pPr>
            <w:r>
              <w:rPr>
                <w:rFonts w:asciiTheme="minorHAnsi" w:hAnsiTheme="minorHAnsi" w:cstheme="minorHAnsi"/>
                <w:sz w:val="20"/>
                <w:szCs w:val="20"/>
              </w:rPr>
              <w:t xml:space="preserve">If a user is no longer associated with a specific provider location (retirement, leaves employment, etc.) the Provider Admin </w:t>
            </w:r>
            <w:r w:rsidR="00445E41">
              <w:rPr>
                <w:rFonts w:asciiTheme="minorHAnsi" w:hAnsiTheme="minorHAnsi" w:cstheme="minorHAnsi"/>
                <w:sz w:val="20"/>
                <w:szCs w:val="20"/>
              </w:rPr>
              <w:t xml:space="preserve">can now </w:t>
            </w:r>
            <w:r>
              <w:rPr>
                <w:rFonts w:asciiTheme="minorHAnsi" w:hAnsiTheme="minorHAnsi" w:cstheme="minorHAnsi"/>
                <w:sz w:val="20"/>
                <w:szCs w:val="20"/>
              </w:rPr>
              <w:t>inactivate the user</w:t>
            </w:r>
            <w:r w:rsidR="00445E41">
              <w:rPr>
                <w:rFonts w:asciiTheme="minorHAnsi" w:hAnsiTheme="minorHAnsi" w:cstheme="minorHAnsi"/>
                <w:sz w:val="20"/>
                <w:szCs w:val="20"/>
              </w:rPr>
              <w:t>’s</w:t>
            </w:r>
            <w:r>
              <w:rPr>
                <w:rFonts w:asciiTheme="minorHAnsi" w:hAnsiTheme="minorHAnsi" w:cstheme="minorHAnsi"/>
                <w:sz w:val="20"/>
                <w:szCs w:val="20"/>
              </w:rPr>
              <w:t xml:space="preserve"> account. The user account can also be temporarily inactivated if the person is on an extended leave of absence. They can be reactivated upon their return. </w:t>
            </w:r>
            <w:r w:rsidR="00445E41">
              <w:rPr>
                <w:rFonts w:asciiTheme="minorHAnsi" w:hAnsiTheme="minorHAnsi" w:cstheme="minorHAnsi"/>
                <w:sz w:val="20"/>
                <w:szCs w:val="20"/>
              </w:rPr>
              <w:t xml:space="preserve">It is the responsibility of each location’s Provider Admin to inactivate user accounts when appropriate. </w:t>
            </w:r>
          </w:p>
        </w:tc>
        <w:tc>
          <w:tcPr>
            <w:tcW w:w="4585" w:type="dxa"/>
          </w:tcPr>
          <w:p w14:paraId="1E9DB35D" w14:textId="7295B43E" w:rsidR="001853AA" w:rsidRDefault="001853AA">
            <w:pPr>
              <w:rPr>
                <w:rFonts w:asciiTheme="minorHAnsi" w:hAnsiTheme="minorHAnsi" w:cstheme="minorHAnsi"/>
                <w:sz w:val="20"/>
                <w:szCs w:val="20"/>
              </w:rPr>
            </w:pPr>
            <w:r>
              <w:rPr>
                <w:rFonts w:asciiTheme="minorHAnsi" w:hAnsiTheme="minorHAnsi" w:cstheme="minorHAnsi"/>
                <w:sz w:val="20"/>
                <w:szCs w:val="20"/>
              </w:rPr>
              <w:t xml:space="preserve">Use the User Approval Requests menu item to access the Active </w:t>
            </w:r>
            <w:r w:rsidR="00906755">
              <w:rPr>
                <w:rFonts w:asciiTheme="minorHAnsi" w:hAnsiTheme="minorHAnsi" w:cstheme="minorHAnsi"/>
                <w:sz w:val="20"/>
                <w:szCs w:val="20"/>
              </w:rPr>
              <w:t xml:space="preserve">and Inactive </w:t>
            </w:r>
            <w:r>
              <w:rPr>
                <w:rFonts w:asciiTheme="minorHAnsi" w:hAnsiTheme="minorHAnsi" w:cstheme="minorHAnsi"/>
                <w:sz w:val="20"/>
                <w:szCs w:val="20"/>
              </w:rPr>
              <w:t>Users list</w:t>
            </w:r>
            <w:r w:rsidR="00906755">
              <w:rPr>
                <w:rFonts w:asciiTheme="minorHAnsi" w:hAnsiTheme="minorHAnsi" w:cstheme="minorHAnsi"/>
                <w:sz w:val="20"/>
                <w:szCs w:val="20"/>
              </w:rPr>
              <w:t>s</w:t>
            </w:r>
            <w:r>
              <w:rPr>
                <w:rFonts w:asciiTheme="minorHAnsi" w:hAnsiTheme="minorHAnsi" w:cstheme="minorHAnsi"/>
                <w:sz w:val="20"/>
                <w:szCs w:val="20"/>
              </w:rPr>
              <w:t xml:space="preserve">, from which users can be inactivated or reactivated. </w:t>
            </w:r>
          </w:p>
        </w:tc>
      </w:tr>
      <w:tr w:rsidR="00906755" w:rsidRPr="001234EF" w14:paraId="686E1623" w14:textId="77777777" w:rsidTr="00E56890">
        <w:tc>
          <w:tcPr>
            <w:tcW w:w="3865" w:type="dxa"/>
          </w:tcPr>
          <w:p w14:paraId="405E6F83" w14:textId="3869B01F" w:rsidR="00906755" w:rsidRDefault="006C1901"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Rejected Users list added</w:t>
            </w:r>
          </w:p>
        </w:tc>
        <w:tc>
          <w:tcPr>
            <w:tcW w:w="10260" w:type="dxa"/>
          </w:tcPr>
          <w:p w14:paraId="01E8BC00" w14:textId="6AE90AE9" w:rsidR="00906755" w:rsidRDefault="006C1901">
            <w:pPr>
              <w:rPr>
                <w:rFonts w:asciiTheme="minorHAnsi" w:hAnsiTheme="minorHAnsi" w:cstheme="minorHAnsi"/>
                <w:sz w:val="20"/>
                <w:szCs w:val="20"/>
              </w:rPr>
            </w:pPr>
            <w:r>
              <w:rPr>
                <w:rFonts w:asciiTheme="minorHAnsi" w:hAnsiTheme="minorHAnsi" w:cstheme="minorHAnsi"/>
                <w:sz w:val="20"/>
                <w:szCs w:val="20"/>
              </w:rPr>
              <w:t>O</w:t>
            </w:r>
            <w:r w:rsidR="009C1D43">
              <w:rPr>
                <w:rFonts w:asciiTheme="minorHAnsi" w:hAnsiTheme="minorHAnsi" w:cstheme="minorHAnsi"/>
                <w:sz w:val="20"/>
                <w:szCs w:val="20"/>
              </w:rPr>
              <w:t>n</w:t>
            </w:r>
            <w:r>
              <w:rPr>
                <w:rFonts w:asciiTheme="minorHAnsi" w:hAnsiTheme="minorHAnsi" w:cstheme="minorHAnsi"/>
                <w:sz w:val="20"/>
                <w:szCs w:val="20"/>
              </w:rPr>
              <w:t xml:space="preserve"> the User Approval Page for Provider Admins, any users they have rejected during registration will display here. Useful for reference if there are questions from users regarding why their registration was not approved. </w:t>
            </w:r>
          </w:p>
        </w:tc>
        <w:tc>
          <w:tcPr>
            <w:tcW w:w="4585" w:type="dxa"/>
          </w:tcPr>
          <w:p w14:paraId="58810372" w14:textId="0DE9E7F3" w:rsidR="00906755" w:rsidRDefault="00906755">
            <w:pPr>
              <w:rPr>
                <w:rFonts w:asciiTheme="minorHAnsi" w:hAnsiTheme="minorHAnsi" w:cstheme="minorHAnsi"/>
                <w:sz w:val="20"/>
                <w:szCs w:val="20"/>
              </w:rPr>
            </w:pPr>
          </w:p>
        </w:tc>
      </w:tr>
      <w:tr w:rsidR="006C1901" w:rsidRPr="001234EF" w14:paraId="0494F50D" w14:textId="77777777" w:rsidTr="00E56890">
        <w:tc>
          <w:tcPr>
            <w:tcW w:w="3865" w:type="dxa"/>
          </w:tcPr>
          <w:p w14:paraId="06687CF5" w14:textId="51D06C84" w:rsidR="006C1901" w:rsidRDefault="006C1901" w:rsidP="00445E4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Contact Information added</w:t>
            </w:r>
          </w:p>
        </w:tc>
        <w:tc>
          <w:tcPr>
            <w:tcW w:w="10260" w:type="dxa"/>
          </w:tcPr>
          <w:p w14:paraId="718E7CEC" w14:textId="25147039" w:rsidR="006C1901" w:rsidRDefault="006C1901">
            <w:pPr>
              <w:rPr>
                <w:rFonts w:asciiTheme="minorHAnsi" w:hAnsiTheme="minorHAnsi" w:cstheme="minorHAnsi"/>
                <w:sz w:val="20"/>
                <w:szCs w:val="20"/>
              </w:rPr>
            </w:pPr>
            <w:r>
              <w:rPr>
                <w:rFonts w:asciiTheme="minorHAnsi" w:hAnsiTheme="minorHAnsi" w:cstheme="minorHAnsi"/>
                <w:sz w:val="20"/>
                <w:szCs w:val="20"/>
              </w:rPr>
              <w:t xml:space="preserve">The “Contact” link at the top of the page now contains information on who to contact for assistance with KSURS-related issues.  </w:t>
            </w:r>
          </w:p>
        </w:tc>
        <w:tc>
          <w:tcPr>
            <w:tcW w:w="4585" w:type="dxa"/>
          </w:tcPr>
          <w:p w14:paraId="025B533D" w14:textId="4E3F5E2C" w:rsidR="006C1901" w:rsidRDefault="006C1901">
            <w:pPr>
              <w:rPr>
                <w:rFonts w:asciiTheme="minorHAnsi" w:hAnsiTheme="minorHAnsi" w:cstheme="minorHAnsi"/>
                <w:sz w:val="20"/>
                <w:szCs w:val="20"/>
              </w:rPr>
            </w:pPr>
            <w:r>
              <w:rPr>
                <w:rFonts w:asciiTheme="minorHAnsi" w:hAnsiTheme="minorHAnsi" w:cstheme="minorHAnsi"/>
                <w:sz w:val="20"/>
                <w:szCs w:val="20"/>
              </w:rPr>
              <w:t xml:space="preserve">Click on the link to access the KDADS Applications Help Desk contact info. </w:t>
            </w:r>
          </w:p>
        </w:tc>
      </w:tr>
      <w:tr w:rsidR="006C1901" w:rsidRPr="001234EF" w14:paraId="0798E92D" w14:textId="77777777" w:rsidTr="00E56890">
        <w:tc>
          <w:tcPr>
            <w:tcW w:w="3865" w:type="dxa"/>
          </w:tcPr>
          <w:p w14:paraId="18A2C999" w14:textId="27B6770B" w:rsidR="006C1901" w:rsidRDefault="006C1901" w:rsidP="006C1901">
            <w:pPr>
              <w:pStyle w:val="ListParagraph"/>
              <w:numPr>
                <w:ilvl w:val="0"/>
                <w:numId w:val="1"/>
              </w:numPr>
              <w:ind w:left="341" w:hanging="330"/>
              <w:rPr>
                <w:rFonts w:asciiTheme="minorHAnsi" w:hAnsiTheme="minorHAnsi" w:cstheme="minorHAnsi"/>
                <w:sz w:val="20"/>
                <w:szCs w:val="20"/>
              </w:rPr>
            </w:pPr>
            <w:r>
              <w:rPr>
                <w:rFonts w:asciiTheme="minorHAnsi" w:hAnsiTheme="minorHAnsi" w:cstheme="minorHAnsi"/>
                <w:sz w:val="20"/>
                <w:szCs w:val="20"/>
              </w:rPr>
              <w:t>Client Record List sort order improved</w:t>
            </w:r>
          </w:p>
        </w:tc>
        <w:tc>
          <w:tcPr>
            <w:tcW w:w="10260" w:type="dxa"/>
          </w:tcPr>
          <w:p w14:paraId="381CB2B9" w14:textId="7906ADEE" w:rsidR="006C1901" w:rsidRDefault="006C1901">
            <w:pPr>
              <w:rPr>
                <w:rFonts w:asciiTheme="minorHAnsi" w:hAnsiTheme="minorHAnsi" w:cstheme="minorHAnsi"/>
                <w:sz w:val="20"/>
                <w:szCs w:val="20"/>
              </w:rPr>
            </w:pPr>
            <w:r>
              <w:rPr>
                <w:rFonts w:asciiTheme="minorHAnsi" w:hAnsiTheme="minorHAnsi" w:cstheme="minorHAnsi"/>
                <w:sz w:val="20"/>
                <w:szCs w:val="20"/>
              </w:rPr>
              <w:t>The default sort order for the Client List is now by last name, first name</w:t>
            </w:r>
            <w:r w:rsidR="00445E41">
              <w:rPr>
                <w:rFonts w:asciiTheme="minorHAnsi" w:hAnsiTheme="minorHAnsi" w:cstheme="minorHAnsi"/>
                <w:sz w:val="20"/>
                <w:szCs w:val="20"/>
              </w:rPr>
              <w:t>, and Date of Birth</w:t>
            </w:r>
            <w:r>
              <w:rPr>
                <w:rFonts w:asciiTheme="minorHAnsi" w:hAnsiTheme="minorHAnsi" w:cstheme="minorHAnsi"/>
                <w:sz w:val="20"/>
                <w:szCs w:val="20"/>
              </w:rPr>
              <w:t xml:space="preserve">. Previously the first name sort was just by the first initial. It now sorts based on the full first name. </w:t>
            </w:r>
          </w:p>
        </w:tc>
        <w:tc>
          <w:tcPr>
            <w:tcW w:w="4585" w:type="dxa"/>
          </w:tcPr>
          <w:p w14:paraId="40012944" w14:textId="77777777" w:rsidR="006C1901" w:rsidRDefault="006C1901">
            <w:pPr>
              <w:rPr>
                <w:rFonts w:asciiTheme="minorHAnsi" w:hAnsiTheme="minorHAnsi" w:cstheme="minorHAnsi"/>
                <w:sz w:val="20"/>
                <w:szCs w:val="20"/>
              </w:rPr>
            </w:pPr>
          </w:p>
        </w:tc>
      </w:tr>
    </w:tbl>
    <w:p w14:paraId="2B98F95B" w14:textId="77777777" w:rsidR="00B444CA" w:rsidRPr="00B142ED" w:rsidRDefault="00B444CA">
      <w:pPr>
        <w:rPr>
          <w:rFonts w:ascii="Calibri" w:hAnsi="Calibri"/>
          <w:sz w:val="20"/>
        </w:rPr>
      </w:pPr>
    </w:p>
    <w:sectPr w:rsidR="00B444CA" w:rsidRPr="00B142ED" w:rsidSect="00B142ED">
      <w:pgSz w:w="20160" w:h="12240" w:orient="landscape" w:code="5"/>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E0653"/>
    <w:multiLevelType w:val="hybridMultilevel"/>
    <w:tmpl w:val="675E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84B42"/>
    <w:multiLevelType w:val="hybridMultilevel"/>
    <w:tmpl w:val="EF4A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367D4"/>
    <w:multiLevelType w:val="hybridMultilevel"/>
    <w:tmpl w:val="96D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F18E6"/>
    <w:multiLevelType w:val="hybridMultilevel"/>
    <w:tmpl w:val="0A70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ED"/>
    <w:rsid w:val="00044B7D"/>
    <w:rsid w:val="00046517"/>
    <w:rsid w:val="00115F0F"/>
    <w:rsid w:val="001234EF"/>
    <w:rsid w:val="001853AA"/>
    <w:rsid w:val="0025703C"/>
    <w:rsid w:val="00270D99"/>
    <w:rsid w:val="00294BE3"/>
    <w:rsid w:val="00325741"/>
    <w:rsid w:val="003D758F"/>
    <w:rsid w:val="00445E41"/>
    <w:rsid w:val="00564FEB"/>
    <w:rsid w:val="005E1986"/>
    <w:rsid w:val="00635080"/>
    <w:rsid w:val="006C1901"/>
    <w:rsid w:val="00747041"/>
    <w:rsid w:val="00753AF7"/>
    <w:rsid w:val="008517A0"/>
    <w:rsid w:val="008D2BA8"/>
    <w:rsid w:val="008D5C40"/>
    <w:rsid w:val="008F651B"/>
    <w:rsid w:val="00906755"/>
    <w:rsid w:val="009A5740"/>
    <w:rsid w:val="009C1D43"/>
    <w:rsid w:val="009F1ABE"/>
    <w:rsid w:val="00A44754"/>
    <w:rsid w:val="00AD65DD"/>
    <w:rsid w:val="00AD6FDD"/>
    <w:rsid w:val="00B142ED"/>
    <w:rsid w:val="00B173C1"/>
    <w:rsid w:val="00B444CA"/>
    <w:rsid w:val="00BF4389"/>
    <w:rsid w:val="00DD3FBC"/>
    <w:rsid w:val="00DD48EA"/>
    <w:rsid w:val="00E0258D"/>
    <w:rsid w:val="00E56890"/>
    <w:rsid w:val="00F75A67"/>
    <w:rsid w:val="00F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B933"/>
  <w15:chartTrackingRefBased/>
  <w15:docId w15:val="{3F1BE7AA-57C5-4434-B1CF-A59DE936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Bauer [HS-EBIT]</dc:creator>
  <cp:keywords/>
  <dc:description/>
  <cp:lastModifiedBy>Jamie Wallen [KDADS]</cp:lastModifiedBy>
  <cp:revision>2</cp:revision>
  <dcterms:created xsi:type="dcterms:W3CDTF">2021-12-03T19:03:00Z</dcterms:created>
  <dcterms:modified xsi:type="dcterms:W3CDTF">2021-12-03T19:03:00Z</dcterms:modified>
</cp:coreProperties>
</file>