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F0" w:rsidRPr="00CF57A4" w:rsidRDefault="00FA4CF0" w:rsidP="00FA4CF0">
      <w:pPr>
        <w:contextualSpacing/>
        <w:jc w:val="center"/>
        <w:rPr>
          <w:rFonts w:ascii="Times New Roman" w:hAnsi="Times New Roman" w:cs="Times New Roman"/>
          <w:b/>
          <w:sz w:val="28"/>
          <w:szCs w:val="28"/>
        </w:rPr>
      </w:pPr>
      <w:bookmarkStart w:id="0" w:name="_GoBack"/>
      <w:bookmarkEnd w:id="0"/>
      <w:r w:rsidRPr="00CF57A4">
        <w:rPr>
          <w:rFonts w:ascii="Times New Roman" w:hAnsi="Times New Roman" w:cs="Times New Roman"/>
          <w:b/>
          <w:sz w:val="28"/>
          <w:szCs w:val="28"/>
        </w:rPr>
        <w:t>Governor’s Behavioral Health Services Planning Council</w:t>
      </w:r>
    </w:p>
    <w:p w:rsidR="00FA4CF0" w:rsidRPr="00CF57A4" w:rsidRDefault="00FA4CF0" w:rsidP="00FA4CF0">
      <w:pPr>
        <w:contextualSpacing/>
        <w:jc w:val="center"/>
        <w:rPr>
          <w:rFonts w:ascii="Times New Roman" w:hAnsi="Times New Roman" w:cs="Times New Roman"/>
          <w:b/>
          <w:sz w:val="28"/>
          <w:szCs w:val="28"/>
        </w:rPr>
      </w:pPr>
      <w:r w:rsidRPr="00CF57A4">
        <w:rPr>
          <w:rFonts w:ascii="Times New Roman" w:hAnsi="Times New Roman" w:cs="Times New Roman"/>
          <w:b/>
          <w:sz w:val="28"/>
          <w:szCs w:val="28"/>
        </w:rPr>
        <w:t>Kansas Citizen’s Committee on Alcohol and Other Drug Abuse (KCC)</w:t>
      </w:r>
    </w:p>
    <w:p w:rsidR="00FA4CF0" w:rsidRPr="00CF57A4" w:rsidRDefault="00FA4CF0" w:rsidP="00FA4CF0">
      <w:pPr>
        <w:contextualSpacing/>
        <w:jc w:val="center"/>
        <w:rPr>
          <w:rFonts w:ascii="Times New Roman" w:hAnsi="Times New Roman" w:cs="Times New Roman"/>
          <w:b/>
          <w:sz w:val="28"/>
          <w:szCs w:val="28"/>
        </w:rPr>
      </w:pPr>
      <w:r w:rsidRPr="00CF57A4">
        <w:rPr>
          <w:rFonts w:ascii="Times New Roman" w:hAnsi="Times New Roman" w:cs="Times New Roman"/>
          <w:b/>
          <w:sz w:val="28"/>
          <w:szCs w:val="28"/>
        </w:rPr>
        <w:t>Annual Report, 2018</w:t>
      </w:r>
    </w:p>
    <w:p w:rsidR="00FA4CF0" w:rsidRPr="00CF57A4" w:rsidRDefault="00FA4CF0" w:rsidP="00FA4CF0">
      <w:pPr>
        <w:contextualSpacing/>
        <w:jc w:val="center"/>
        <w:rPr>
          <w:rFonts w:ascii="Times New Roman" w:hAnsi="Times New Roman" w:cs="Times New Roman"/>
          <w:sz w:val="28"/>
          <w:szCs w:val="28"/>
        </w:rPr>
      </w:pPr>
    </w:p>
    <w:p w:rsidR="00FA4CF0" w:rsidRPr="00CF57A4" w:rsidRDefault="00FA4CF0" w:rsidP="00FA4CF0">
      <w:pPr>
        <w:contextualSpacing/>
        <w:jc w:val="center"/>
        <w:rPr>
          <w:rFonts w:ascii="Times New Roman" w:hAnsi="Times New Roman" w:cs="Times New Roman"/>
          <w:sz w:val="24"/>
          <w:szCs w:val="24"/>
        </w:rPr>
      </w:pPr>
      <w:r w:rsidRPr="00CF57A4">
        <w:rPr>
          <w:rFonts w:ascii="Times New Roman" w:hAnsi="Times New Roman" w:cs="Times New Roman"/>
          <w:sz w:val="24"/>
          <w:szCs w:val="24"/>
        </w:rPr>
        <w:t>Presented to:</w:t>
      </w:r>
    </w:p>
    <w:p w:rsidR="00FA4CF0" w:rsidRPr="00CF57A4" w:rsidRDefault="00FA4CF0" w:rsidP="00FA4CF0">
      <w:pPr>
        <w:contextualSpacing/>
        <w:jc w:val="center"/>
        <w:rPr>
          <w:rFonts w:ascii="Times New Roman" w:hAnsi="Times New Roman" w:cs="Times New Roman"/>
          <w:sz w:val="24"/>
          <w:szCs w:val="24"/>
        </w:rPr>
      </w:pPr>
      <w:r w:rsidRPr="00CF57A4">
        <w:rPr>
          <w:rFonts w:ascii="Times New Roman" w:hAnsi="Times New Roman" w:cs="Times New Roman"/>
          <w:sz w:val="24"/>
          <w:szCs w:val="24"/>
        </w:rPr>
        <w:t>Wes Cole, Chairperson, Governor’s Behavioral Health Services Planning Council</w:t>
      </w:r>
    </w:p>
    <w:p w:rsidR="00FA4CF0" w:rsidRPr="00CF57A4" w:rsidRDefault="00FA4CF0" w:rsidP="00FA4CF0">
      <w:pPr>
        <w:contextualSpacing/>
        <w:jc w:val="center"/>
        <w:rPr>
          <w:rFonts w:ascii="Times New Roman" w:hAnsi="Times New Roman" w:cs="Times New Roman"/>
          <w:sz w:val="24"/>
          <w:szCs w:val="24"/>
        </w:rPr>
      </w:pPr>
      <w:r w:rsidRPr="00CF57A4">
        <w:rPr>
          <w:rFonts w:ascii="Times New Roman" w:hAnsi="Times New Roman" w:cs="Times New Roman"/>
          <w:sz w:val="24"/>
          <w:szCs w:val="24"/>
        </w:rPr>
        <w:t>Tim Keck, Secretary, Kansas Department of Aging and Disability Services</w:t>
      </w:r>
    </w:p>
    <w:p w:rsidR="00FA4CF0" w:rsidRPr="00CF57A4" w:rsidRDefault="00FA4CF0" w:rsidP="00FA4CF0">
      <w:pPr>
        <w:contextualSpacing/>
        <w:jc w:val="center"/>
        <w:rPr>
          <w:rFonts w:ascii="Times New Roman" w:hAnsi="Times New Roman" w:cs="Times New Roman"/>
          <w:sz w:val="24"/>
          <w:szCs w:val="24"/>
        </w:rPr>
      </w:pPr>
      <w:r w:rsidRPr="00CF57A4">
        <w:rPr>
          <w:rFonts w:ascii="Times New Roman" w:hAnsi="Times New Roman" w:cs="Times New Roman"/>
          <w:sz w:val="24"/>
          <w:szCs w:val="24"/>
        </w:rPr>
        <w:t>Sam Brownback, Governor</w:t>
      </w:r>
    </w:p>
    <w:p w:rsidR="00FA4CF0" w:rsidRPr="00CF57A4" w:rsidRDefault="00FA4CF0" w:rsidP="00FA4CF0">
      <w:pPr>
        <w:contextualSpacing/>
        <w:jc w:val="center"/>
        <w:rPr>
          <w:rFonts w:ascii="Times New Roman" w:hAnsi="Times New Roman" w:cs="Times New Roman"/>
          <w:sz w:val="24"/>
          <w:szCs w:val="24"/>
        </w:rPr>
      </w:pPr>
    </w:p>
    <w:p w:rsidR="00FA4CF0" w:rsidRPr="00CF57A4" w:rsidRDefault="00FA4CF0" w:rsidP="00FA4CF0">
      <w:pPr>
        <w:spacing w:after="0" w:line="240" w:lineRule="auto"/>
        <w:rPr>
          <w:rFonts w:ascii="Times New Roman" w:eastAsia="Times New Roman" w:hAnsi="Times New Roman" w:cs="Times New Roman"/>
          <w:sz w:val="24"/>
          <w:szCs w:val="24"/>
        </w:rPr>
      </w:pPr>
      <w:r w:rsidRPr="00CF57A4">
        <w:rPr>
          <w:rFonts w:ascii="Times New Roman" w:eastAsia="Times New Roman" w:hAnsi="Times New Roman" w:cs="Times New Roman"/>
          <w:b/>
          <w:bCs/>
          <w:sz w:val="24"/>
          <w:szCs w:val="24"/>
        </w:rPr>
        <w:t>Purpose:</w:t>
      </w:r>
      <w:r w:rsidRPr="00CF57A4">
        <w:rPr>
          <w:rFonts w:ascii="Times New Roman" w:eastAsia="Times New Roman" w:hAnsi="Times New Roman" w:cs="Times New Roman"/>
          <w:sz w:val="24"/>
          <w:szCs w:val="24"/>
        </w:rPr>
        <w:t xml:space="preserve">  K.S.A. 75-5381 reads, "It shall be the duty of the Kansas Citizens' Committee on Alcohol and Other Drug Abuse to confer, advise, and consult with the Secretary of the Kansas Department for Aging and Disability Services Behavioral Health or their designee with respect to the powers, duties, and functions imposed upon the Secretary under K.S.A's 65-4006, 75-4007, and 75-5375."  The purpose of this Committee is to be an advisory council for Substance Use Treatment, Prevention, Problem Gambling services, and Recovery Oriented Systems of Care in Kansas.  </w:t>
      </w:r>
    </w:p>
    <w:p w:rsidR="00FA4CF0" w:rsidRPr="00CF57A4" w:rsidRDefault="00FA4CF0" w:rsidP="00FA4CF0">
      <w:pPr>
        <w:spacing w:before="100" w:beforeAutospacing="1" w:after="100" w:afterAutospacing="1" w:line="240" w:lineRule="auto"/>
        <w:rPr>
          <w:rFonts w:ascii="Times New Roman" w:eastAsia="Times New Roman" w:hAnsi="Times New Roman" w:cs="Times New Roman"/>
          <w:sz w:val="24"/>
          <w:szCs w:val="24"/>
        </w:rPr>
      </w:pPr>
      <w:r w:rsidRPr="00CF57A4">
        <w:rPr>
          <w:rFonts w:ascii="Times New Roman" w:eastAsia="Times New Roman" w:hAnsi="Times New Roman" w:cs="Times New Roman"/>
          <w:b/>
          <w:bCs/>
          <w:sz w:val="24"/>
          <w:szCs w:val="24"/>
        </w:rPr>
        <w:t xml:space="preserve">Vision: </w:t>
      </w:r>
      <w:r w:rsidRPr="00CF57A4">
        <w:rPr>
          <w:rFonts w:ascii="Times New Roman" w:eastAsia="Times New Roman" w:hAnsi="Times New Roman" w:cs="Times New Roman"/>
          <w:bCs/>
          <w:sz w:val="24"/>
          <w:szCs w:val="24"/>
        </w:rPr>
        <w:t>Kansas is a community where people are free from the adverse effects of substance use disorders, mental illness, and other behavioral health disorders.</w:t>
      </w:r>
      <w:r w:rsidRPr="00CF57A4">
        <w:rPr>
          <w:rFonts w:ascii="Times New Roman" w:eastAsia="Times New Roman" w:hAnsi="Times New Roman" w:cs="Times New Roman"/>
          <w:sz w:val="24"/>
          <w:szCs w:val="24"/>
        </w:rPr>
        <w:t xml:space="preserve"> </w:t>
      </w:r>
    </w:p>
    <w:p w:rsidR="00FA4CF0" w:rsidRPr="00CF57A4" w:rsidRDefault="00FA4CF0" w:rsidP="00FA4CF0">
      <w:pPr>
        <w:spacing w:before="100" w:beforeAutospacing="1" w:after="100" w:afterAutospacing="1" w:line="240" w:lineRule="auto"/>
        <w:rPr>
          <w:rFonts w:ascii="Times New Roman" w:eastAsia="Times New Roman" w:hAnsi="Times New Roman" w:cs="Times New Roman"/>
          <w:sz w:val="24"/>
          <w:szCs w:val="24"/>
        </w:rPr>
      </w:pPr>
      <w:r w:rsidRPr="00CF57A4">
        <w:rPr>
          <w:rFonts w:ascii="Times New Roman" w:eastAsia="Times New Roman" w:hAnsi="Times New Roman" w:cs="Times New Roman"/>
          <w:b/>
          <w:bCs/>
          <w:sz w:val="24"/>
          <w:szCs w:val="24"/>
        </w:rPr>
        <w:t>Mission:</w:t>
      </w:r>
      <w:r w:rsidRPr="00CF57A4">
        <w:rPr>
          <w:rFonts w:ascii="Times New Roman" w:eastAsia="Times New Roman" w:hAnsi="Times New Roman" w:cs="Times New Roman"/>
          <w:sz w:val="24"/>
          <w:szCs w:val="24"/>
        </w:rPr>
        <w:t xml:space="preserve"> To empower healthy change in people's lives through quality services that address the treatment, prevention and recovery from substance use disorders, problem gambling, mental illness, and other behavioral health disorders.</w:t>
      </w:r>
    </w:p>
    <w:p w:rsidR="00FA4CF0" w:rsidRPr="00CF57A4" w:rsidRDefault="00FA4CF0" w:rsidP="00FA4CF0">
      <w:pPr>
        <w:contextualSpacing/>
        <w:rPr>
          <w:rFonts w:ascii="Times New Roman" w:hAnsi="Times New Roman" w:cs="Times New Roman"/>
          <w:b/>
          <w:sz w:val="24"/>
          <w:szCs w:val="24"/>
        </w:rPr>
      </w:pPr>
      <w:r w:rsidRPr="00CF57A4">
        <w:rPr>
          <w:rFonts w:ascii="Times New Roman" w:hAnsi="Times New Roman" w:cs="Times New Roman"/>
          <w:b/>
          <w:sz w:val="24"/>
          <w:szCs w:val="24"/>
        </w:rPr>
        <w:t>Current Membership:</w:t>
      </w:r>
    </w:p>
    <w:tbl>
      <w:tblPr>
        <w:tblStyle w:val="TableGrid"/>
        <w:tblW w:w="9985" w:type="dxa"/>
        <w:tblLook w:val="04A0" w:firstRow="1" w:lastRow="0" w:firstColumn="1" w:lastColumn="0" w:noHBand="0" w:noVBand="1"/>
      </w:tblPr>
      <w:tblGrid>
        <w:gridCol w:w="4786"/>
        <w:gridCol w:w="5199"/>
      </w:tblGrid>
      <w:tr w:rsidR="00FA4CF0" w:rsidRPr="00CF57A4" w:rsidTr="0014715E">
        <w:tc>
          <w:tcPr>
            <w:tcW w:w="4786" w:type="dxa"/>
          </w:tcPr>
          <w:p w:rsidR="00FA4CF0" w:rsidRPr="00CF57A4" w:rsidRDefault="00FA4CF0" w:rsidP="0014715E">
            <w:pPr>
              <w:contextualSpacing/>
              <w:jc w:val="center"/>
              <w:rPr>
                <w:rFonts w:ascii="Times New Roman" w:hAnsi="Times New Roman" w:cs="Times New Roman"/>
                <w:b/>
                <w:szCs w:val="24"/>
              </w:rPr>
            </w:pPr>
            <w:r w:rsidRPr="00CF57A4">
              <w:rPr>
                <w:rFonts w:ascii="Times New Roman" w:hAnsi="Times New Roman" w:cs="Times New Roman"/>
                <w:b/>
                <w:szCs w:val="24"/>
              </w:rPr>
              <w:t>Member</w:t>
            </w:r>
          </w:p>
        </w:tc>
        <w:tc>
          <w:tcPr>
            <w:tcW w:w="5199" w:type="dxa"/>
          </w:tcPr>
          <w:p w:rsidR="00FA4CF0" w:rsidRPr="00CF57A4" w:rsidRDefault="00FA4CF0" w:rsidP="0014715E">
            <w:pPr>
              <w:contextualSpacing/>
              <w:jc w:val="center"/>
              <w:rPr>
                <w:rFonts w:ascii="Times New Roman" w:hAnsi="Times New Roman" w:cs="Times New Roman"/>
                <w:b/>
                <w:szCs w:val="24"/>
              </w:rPr>
            </w:pPr>
            <w:r w:rsidRPr="00CF57A4">
              <w:rPr>
                <w:rFonts w:ascii="Times New Roman" w:hAnsi="Times New Roman" w:cs="Times New Roman"/>
                <w:b/>
                <w:szCs w:val="24"/>
              </w:rPr>
              <w:t>Representing</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Krista Machado, Chair Elect</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Prevention</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Mollie Thompson</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Prevention</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Dana Schwartz</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Prevention</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Daniel Warren</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Treatment</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Shane Hudson, Past Chair</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Treatment</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Sara Jackson</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Treatment</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Jennifer Foster</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Citizens</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Al Dorsey</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Citizens</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Na</w:t>
            </w:r>
            <w:r w:rsidR="00B94D28" w:rsidRPr="00CF57A4">
              <w:rPr>
                <w:rFonts w:ascii="Times New Roman" w:hAnsi="Times New Roman" w:cs="Times New Roman"/>
                <w:szCs w:val="24"/>
              </w:rPr>
              <w:t>n</w:t>
            </w:r>
            <w:r w:rsidRPr="00CF57A4">
              <w:rPr>
                <w:rFonts w:ascii="Times New Roman" w:hAnsi="Times New Roman" w:cs="Times New Roman"/>
                <w:szCs w:val="24"/>
              </w:rPr>
              <w:t xml:space="preserve">cy Jo </w:t>
            </w:r>
            <w:proofErr w:type="spellStart"/>
            <w:r w:rsidRPr="00CF57A4">
              <w:rPr>
                <w:rFonts w:ascii="Times New Roman" w:hAnsi="Times New Roman" w:cs="Times New Roman"/>
                <w:szCs w:val="24"/>
              </w:rPr>
              <w:t>Kepple</w:t>
            </w:r>
            <w:proofErr w:type="spellEnd"/>
            <w:r w:rsidRPr="00CF57A4">
              <w:rPr>
                <w:rFonts w:ascii="Times New Roman" w:hAnsi="Times New Roman" w:cs="Times New Roman"/>
                <w:szCs w:val="24"/>
              </w:rPr>
              <w:t>, Recorder</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Citizens</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Christopher Lund</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Citizens</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Toni Ragland</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Citizens</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 xml:space="preserve">Lane </w:t>
            </w:r>
            <w:proofErr w:type="spellStart"/>
            <w:r w:rsidRPr="00CF57A4">
              <w:rPr>
                <w:rFonts w:ascii="Times New Roman" w:hAnsi="Times New Roman" w:cs="Times New Roman"/>
                <w:szCs w:val="24"/>
              </w:rPr>
              <w:t>Mangels</w:t>
            </w:r>
            <w:proofErr w:type="spellEnd"/>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Law Enforcement</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 xml:space="preserve">Fan </w:t>
            </w:r>
            <w:proofErr w:type="spellStart"/>
            <w:r w:rsidRPr="00CF57A4">
              <w:rPr>
                <w:rFonts w:ascii="Times New Roman" w:hAnsi="Times New Roman" w:cs="Times New Roman"/>
                <w:szCs w:val="24"/>
              </w:rPr>
              <w:t>Xioin</w:t>
            </w:r>
            <w:proofErr w:type="spellEnd"/>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Public Health</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Victor Fitz</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GBHSPC Liaison</w:t>
            </w:r>
          </w:p>
        </w:tc>
      </w:tr>
      <w:tr w:rsidR="00FA4CF0" w:rsidRPr="00CF57A4" w:rsidTr="0014715E">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Kayla Waters, Chair</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Higher Education</w:t>
            </w:r>
          </w:p>
        </w:tc>
      </w:tr>
      <w:tr w:rsidR="00FA4CF0" w:rsidRPr="00CF57A4" w:rsidTr="0014715E">
        <w:trPr>
          <w:trHeight w:val="305"/>
        </w:trPr>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Bill Persinger</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Mental Health</w:t>
            </w:r>
          </w:p>
        </w:tc>
      </w:tr>
      <w:tr w:rsidR="00FA4CF0" w:rsidRPr="00CF57A4" w:rsidTr="0014715E">
        <w:trPr>
          <w:trHeight w:val="215"/>
        </w:trPr>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Maren Turner</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Aging</w:t>
            </w:r>
          </w:p>
        </w:tc>
      </w:tr>
      <w:tr w:rsidR="00FA4CF0" w:rsidRPr="00CF57A4" w:rsidTr="0014715E">
        <w:trPr>
          <w:trHeight w:val="215"/>
        </w:trPr>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Tina Abney</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Child Protective Services</w:t>
            </w:r>
          </w:p>
        </w:tc>
      </w:tr>
      <w:tr w:rsidR="004E2BAF" w:rsidRPr="00CF57A4" w:rsidTr="0014715E">
        <w:trPr>
          <w:trHeight w:val="215"/>
        </w:trPr>
        <w:tc>
          <w:tcPr>
            <w:tcW w:w="4786" w:type="dxa"/>
          </w:tcPr>
          <w:p w:rsidR="004E2BAF" w:rsidRPr="00CF57A4" w:rsidRDefault="004E2BAF" w:rsidP="0014715E">
            <w:pPr>
              <w:contextualSpacing/>
              <w:rPr>
                <w:rFonts w:ascii="Times New Roman" w:hAnsi="Times New Roman" w:cs="Times New Roman"/>
                <w:szCs w:val="24"/>
              </w:rPr>
            </w:pPr>
            <w:r w:rsidRPr="00CF57A4">
              <w:rPr>
                <w:rFonts w:ascii="Times New Roman" w:hAnsi="Times New Roman" w:cs="Times New Roman"/>
                <w:szCs w:val="24"/>
              </w:rPr>
              <w:t>Peggy Cecil</w:t>
            </w:r>
          </w:p>
        </w:tc>
        <w:tc>
          <w:tcPr>
            <w:tcW w:w="5199" w:type="dxa"/>
          </w:tcPr>
          <w:p w:rsidR="004E2BAF" w:rsidRPr="00CF57A4" w:rsidRDefault="004E2BAF" w:rsidP="0014715E">
            <w:pPr>
              <w:contextualSpacing/>
              <w:rPr>
                <w:rFonts w:ascii="Times New Roman" w:hAnsi="Times New Roman" w:cs="Times New Roman"/>
                <w:szCs w:val="24"/>
              </w:rPr>
            </w:pPr>
            <w:r w:rsidRPr="00CF57A4">
              <w:rPr>
                <w:rFonts w:ascii="Times New Roman" w:hAnsi="Times New Roman" w:cs="Times New Roman"/>
                <w:szCs w:val="24"/>
              </w:rPr>
              <w:t>Discretionary</w:t>
            </w:r>
          </w:p>
        </w:tc>
      </w:tr>
      <w:tr w:rsidR="00FA4CF0" w:rsidRPr="00CF57A4" w:rsidTr="0014715E">
        <w:trPr>
          <w:trHeight w:val="215"/>
        </w:trPr>
        <w:tc>
          <w:tcPr>
            <w:tcW w:w="4786"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Diana Marsh</w:t>
            </w:r>
          </w:p>
        </w:tc>
        <w:tc>
          <w:tcPr>
            <w:tcW w:w="5199" w:type="dxa"/>
          </w:tcPr>
          <w:p w:rsidR="00FA4CF0" w:rsidRPr="00CF57A4" w:rsidRDefault="00FA4CF0" w:rsidP="0014715E">
            <w:pPr>
              <w:contextualSpacing/>
              <w:rPr>
                <w:rFonts w:ascii="Times New Roman" w:hAnsi="Times New Roman" w:cs="Times New Roman"/>
                <w:szCs w:val="24"/>
              </w:rPr>
            </w:pPr>
            <w:r w:rsidRPr="00CF57A4">
              <w:rPr>
                <w:rFonts w:ascii="Times New Roman" w:hAnsi="Times New Roman" w:cs="Times New Roman"/>
                <w:szCs w:val="24"/>
              </w:rPr>
              <w:t>KDADS/KCC Support Staff</w:t>
            </w:r>
          </w:p>
        </w:tc>
      </w:tr>
    </w:tbl>
    <w:p w:rsidR="00FD111B" w:rsidRPr="00CF57A4" w:rsidRDefault="00FD111B">
      <w:r w:rsidRPr="00CF57A4">
        <w:lastRenderedPageBreak/>
        <w:t>As an advisory council on addiction prevention and treatment in Kansas, we urge you to recognize the benefits, both humanitarian and pragmatic, of effective statewide addiction counseling services:</w:t>
      </w:r>
    </w:p>
    <w:p w:rsidR="00FD111B" w:rsidRPr="00CF57A4" w:rsidRDefault="00FD111B" w:rsidP="00FD111B">
      <w:pPr>
        <w:pStyle w:val="ListParagraph"/>
        <w:numPr>
          <w:ilvl w:val="0"/>
          <w:numId w:val="1"/>
        </w:numPr>
      </w:pPr>
      <w:r w:rsidRPr="00CF57A4">
        <w:t xml:space="preserve">Effective prevention and treatment saves lives, and allows for improved quality of lives for individuals, families, and communities.  </w:t>
      </w:r>
    </w:p>
    <w:p w:rsidR="00FD111B" w:rsidRPr="00CF57A4" w:rsidRDefault="00FD111B" w:rsidP="00FD111B">
      <w:pPr>
        <w:pStyle w:val="ListParagraph"/>
        <w:numPr>
          <w:ilvl w:val="0"/>
          <w:numId w:val="1"/>
        </w:numPr>
      </w:pPr>
      <w:r w:rsidRPr="00CF57A4">
        <w:t xml:space="preserve">Effective prevention and treatment is financially responsible in that it offsets higher costs associated with associated family trauma, policing, </w:t>
      </w:r>
      <w:proofErr w:type="gramStart"/>
      <w:r w:rsidRPr="00CF57A4">
        <w:t>incarceration</w:t>
      </w:r>
      <w:proofErr w:type="gramEnd"/>
      <w:r w:rsidRPr="00CF57A4">
        <w:t xml:space="preserve">, lost productivity, morbidity, and mortality. </w:t>
      </w:r>
    </w:p>
    <w:p w:rsidR="00FD111B" w:rsidRPr="00CF57A4" w:rsidRDefault="00FD111B" w:rsidP="00FD111B">
      <w:pPr>
        <w:pStyle w:val="ListParagraph"/>
        <w:numPr>
          <w:ilvl w:val="0"/>
          <w:numId w:val="1"/>
        </w:numPr>
      </w:pPr>
      <w:r w:rsidRPr="00CF57A4">
        <w:t xml:space="preserve">Effective prevention and treatment services the public safety of Kansans, by reducing rates of assaults, accidents, abuse, crime, and suicide.  </w:t>
      </w:r>
    </w:p>
    <w:p w:rsidR="009B1D13" w:rsidRPr="00CF57A4" w:rsidRDefault="009B1D13" w:rsidP="009B1D13">
      <w:r w:rsidRPr="00CF57A4">
        <w:t xml:space="preserve">As in previous years, the most critical needs of the Addiction Counseling field relate to funding, service accessibility and integration, workforce crisis, and prevention.  </w:t>
      </w:r>
    </w:p>
    <w:p w:rsidR="00BD7F9D" w:rsidRPr="00CF57A4" w:rsidRDefault="00F73FF4" w:rsidP="00BD7F9D">
      <w:r w:rsidRPr="00CF57A4">
        <w:rPr>
          <w:b/>
        </w:rPr>
        <w:t xml:space="preserve">Increased funding </w:t>
      </w:r>
      <w:r w:rsidRPr="00CF57A4">
        <w:t>is necessary to support effective addiction services</w:t>
      </w:r>
      <w:r w:rsidRPr="00CF57A4">
        <w:rPr>
          <w:b/>
        </w:rPr>
        <w:t xml:space="preserve">.  </w:t>
      </w:r>
      <w:r w:rsidR="001B4CC1" w:rsidRPr="00CF57A4">
        <w:rPr>
          <w:b/>
        </w:rPr>
        <w:t xml:space="preserve"> </w:t>
      </w:r>
      <w:r w:rsidR="001B4CC1" w:rsidRPr="00CF57A4">
        <w:t>Kansas has well-established prevention, treatment, and profe</w:t>
      </w:r>
      <w:r w:rsidR="009B1D13" w:rsidRPr="00CF57A4">
        <w:t xml:space="preserve">ssional training programs.  With recent </w:t>
      </w:r>
      <w:r w:rsidR="00B94D28" w:rsidRPr="00CF57A4">
        <w:t xml:space="preserve">improvements </w:t>
      </w:r>
      <w:r w:rsidR="009B1D13" w:rsidRPr="00CF57A4">
        <w:t xml:space="preserve">in </w:t>
      </w:r>
      <w:r w:rsidR="001B4CC1" w:rsidRPr="00CF57A4">
        <w:t>professionalization and program monitoring, the field of addiction counseling in Kansas is adopting more effective, evidence-supported practices that effectively reduce the harm and costs of addiction.  These programs need financial support to</w:t>
      </w:r>
      <w:r w:rsidR="00B94D28" w:rsidRPr="00CF57A4">
        <w:t xml:space="preserve"> fully</w:t>
      </w:r>
      <w:r w:rsidR="001B4CC1" w:rsidRPr="00CF57A4">
        <w:t xml:space="preserve"> impl</w:t>
      </w:r>
      <w:r w:rsidR="00B94D28" w:rsidRPr="00CF57A4">
        <w:t xml:space="preserve">ement their effective practices.  We recommend: </w:t>
      </w:r>
    </w:p>
    <w:p w:rsidR="00FD111B" w:rsidRPr="00CF57A4" w:rsidRDefault="00B94D28" w:rsidP="00FD7D26">
      <w:pPr>
        <w:pStyle w:val="ListParagraph"/>
        <w:numPr>
          <w:ilvl w:val="0"/>
          <w:numId w:val="4"/>
        </w:numPr>
      </w:pPr>
      <w:r w:rsidRPr="00CF57A4">
        <w:rPr>
          <w:b/>
        </w:rPr>
        <w:t>Facilitate Pursuit of Grant Funding:</w:t>
      </w:r>
      <w:r w:rsidR="00A33971" w:rsidRPr="00CF57A4">
        <w:rPr>
          <w:b/>
        </w:rPr>
        <w:t xml:space="preserve">  </w:t>
      </w:r>
      <w:r w:rsidRPr="00CF57A4">
        <w:t xml:space="preserve">There are various </w:t>
      </w:r>
      <w:r w:rsidR="00BD7F9D" w:rsidRPr="00CF57A4">
        <w:t xml:space="preserve">opportunities to </w:t>
      </w:r>
      <w:r w:rsidR="00FD111B" w:rsidRPr="00CF57A4">
        <w:t xml:space="preserve">procure national funds to address </w:t>
      </w:r>
      <w:r w:rsidRPr="00CF57A4">
        <w:t xml:space="preserve">substance use disorders; for example the national spotlight on opioid use problems is generating grant opportunities, and other   </w:t>
      </w:r>
      <w:r w:rsidR="00FD111B" w:rsidRPr="00CF57A4">
        <w:t xml:space="preserve">opioid use problems.  We recommend creating a new state-level grant-support position to work directly with agencies to help </w:t>
      </w:r>
      <w:r w:rsidR="00FD111B" w:rsidRPr="00CF57A4">
        <w:rPr>
          <w:i/>
        </w:rPr>
        <w:t xml:space="preserve">secure </w:t>
      </w:r>
      <w:r w:rsidR="00BD7F9D" w:rsidRPr="00CF57A4">
        <w:rPr>
          <w:i/>
        </w:rPr>
        <w:t>and maintain</w:t>
      </w:r>
      <w:r w:rsidR="00BD7F9D" w:rsidRPr="00CF57A4">
        <w:t xml:space="preserve"> </w:t>
      </w:r>
      <w:r w:rsidR="00FD111B" w:rsidRPr="00CF57A4">
        <w:t>these opioid-related funds as well as other addictions prevention and treatment grants.  At present, agencies are not in a position to fully take advantage of national grant opportunities.  The workforce crisis means that they are already struggling to keep up with the standard workload.  Furthermore, many agencies simply won’t have staff with the skillset necessary to pursue and monitor large grants.  A state-level coordinator could provide the grant-specific expertise, allowing agency directors and staff to focus on their own professional s</w:t>
      </w:r>
      <w:r w:rsidR="009A0E26" w:rsidRPr="00CF57A4">
        <w:t xml:space="preserve">trengths in service provision.  This coordinator should be charged with promoting collaboration across agencies and professions in to develop initiatives that align with various federal funding opportunities.  </w:t>
      </w:r>
    </w:p>
    <w:p w:rsidR="00BD7F9D" w:rsidRPr="00CF57A4" w:rsidRDefault="009A0E26" w:rsidP="00BD7F9D">
      <w:pPr>
        <w:pStyle w:val="ListParagraph"/>
        <w:numPr>
          <w:ilvl w:val="0"/>
          <w:numId w:val="4"/>
        </w:numPr>
      </w:pPr>
      <w:r w:rsidRPr="00CF57A4">
        <w:t xml:space="preserve">We are pleased that a portion of the Problem Gambling and Other Addictions Fund is being devoted to treatment.  We recommend that the state continues to incrementally increase the proportion of this money that is applied to treatment over the next several years until the full fund is being applied as intended.  </w:t>
      </w:r>
    </w:p>
    <w:p w:rsidR="001B4CC1" w:rsidRPr="00CF57A4" w:rsidRDefault="001B4CC1" w:rsidP="001B4CC1">
      <w:pPr>
        <w:pStyle w:val="ListParagraph"/>
      </w:pPr>
    </w:p>
    <w:p w:rsidR="001B4CC1" w:rsidRPr="00CF57A4" w:rsidRDefault="001B4CC1" w:rsidP="001B4CC1">
      <w:r w:rsidRPr="00CF57A4">
        <w:rPr>
          <w:b/>
        </w:rPr>
        <w:t>Improve</w:t>
      </w:r>
      <w:r w:rsidR="00F73FF4" w:rsidRPr="00CF57A4">
        <w:rPr>
          <w:b/>
        </w:rPr>
        <w:t>d</w:t>
      </w:r>
      <w:r w:rsidR="00BD7F9D" w:rsidRPr="00CF57A4">
        <w:rPr>
          <w:b/>
        </w:rPr>
        <w:t xml:space="preserve"> Access</w:t>
      </w:r>
      <w:r w:rsidR="009B1D13" w:rsidRPr="00CF57A4">
        <w:rPr>
          <w:b/>
        </w:rPr>
        <w:t xml:space="preserve"> and Service Integration</w:t>
      </w:r>
      <w:r w:rsidR="00BD7F9D" w:rsidRPr="00CF57A4">
        <w:t xml:space="preserve"> </w:t>
      </w:r>
      <w:r w:rsidR="00F73FF4" w:rsidRPr="00CF57A4">
        <w:t>will</w:t>
      </w:r>
      <w:r w:rsidRPr="00CF57A4">
        <w:t xml:space="preserve"> reduce the cost and strain associated with waiting until problems are more severe (or more severely impact medical health, legal status, and family wellness) before beginning treatment: </w:t>
      </w:r>
    </w:p>
    <w:p w:rsidR="009A0E26" w:rsidRPr="00CF57A4" w:rsidRDefault="009A0E26" w:rsidP="00BD7F9D">
      <w:pPr>
        <w:pStyle w:val="ListParagraph"/>
        <w:numPr>
          <w:ilvl w:val="0"/>
          <w:numId w:val="5"/>
        </w:numPr>
      </w:pPr>
      <w:r w:rsidRPr="00CF57A4">
        <w:t xml:space="preserve">Currently, Addictions Counseling agencies are not allowed to provide mental health treatment for clients with co-occurring disorders </w:t>
      </w:r>
      <w:r w:rsidRPr="00CF57A4">
        <w:rPr>
          <w:i/>
        </w:rPr>
        <w:t xml:space="preserve">even when </w:t>
      </w:r>
      <w:r w:rsidRPr="00CF57A4">
        <w:t xml:space="preserve">they have the professional capacity to do so (e.g. professional staff with the appropriate license to treat co-occurring issues).  This results in wasteful, </w:t>
      </w:r>
      <w:r w:rsidR="004238DC" w:rsidRPr="00CF57A4">
        <w:t xml:space="preserve">redundant, </w:t>
      </w:r>
      <w:r w:rsidRPr="00CF57A4">
        <w:t xml:space="preserve">piecemeal services for clients.  We recommend allowing Addiction </w:t>
      </w:r>
      <w:r w:rsidRPr="00CF57A4">
        <w:lastRenderedPageBreak/>
        <w:t xml:space="preserve">Counseling agencies to become approved providers </w:t>
      </w:r>
      <w:r w:rsidRPr="00CF57A4">
        <w:rPr>
          <w:b/>
        </w:rPr>
        <w:t>for co-occurring issues</w:t>
      </w:r>
      <w:r w:rsidRPr="00CF57A4">
        <w:t xml:space="preserve"> providing they have the appropriate resources to do so.  This expansion of services should </w:t>
      </w:r>
      <w:r w:rsidRPr="00CF57A4">
        <w:rPr>
          <w:i/>
        </w:rPr>
        <w:t>only</w:t>
      </w:r>
      <w:r w:rsidRPr="00CF57A4">
        <w:t xml:space="preserve"> apply to addiction counseling clients with co-occurring issues, not to general mental health clientele.  </w:t>
      </w:r>
    </w:p>
    <w:p w:rsidR="00BD7F9D" w:rsidRPr="00CF57A4" w:rsidRDefault="00BD7F9D" w:rsidP="00BD7F9D">
      <w:pPr>
        <w:pStyle w:val="ListParagraph"/>
        <w:numPr>
          <w:ilvl w:val="0"/>
          <w:numId w:val="5"/>
        </w:numPr>
      </w:pPr>
      <w:r w:rsidRPr="00CF57A4">
        <w:t xml:space="preserve">Support Medicaid expansion for substance use disorder and mental health services, and ensure that existing and future health plans include coverage for behavioral health services.  </w:t>
      </w:r>
    </w:p>
    <w:p w:rsidR="00BD7F9D" w:rsidRPr="00CF57A4" w:rsidRDefault="00BD7F9D" w:rsidP="00BD7F9D">
      <w:pPr>
        <w:pStyle w:val="ListParagraph"/>
        <w:numPr>
          <w:ilvl w:val="0"/>
          <w:numId w:val="5"/>
        </w:numPr>
      </w:pPr>
      <w:r w:rsidRPr="00CF57A4">
        <w:t>Support a global payment model that would allow providers to determine appropriate care and use the full contingent of trained addiction services providers for each patient within per-member-per-month funds</w:t>
      </w:r>
    </w:p>
    <w:p w:rsidR="009A0E26" w:rsidRPr="00CF57A4" w:rsidRDefault="001B4CC1" w:rsidP="00D34B82">
      <w:pPr>
        <w:pStyle w:val="ListParagraph"/>
        <w:numPr>
          <w:ilvl w:val="0"/>
          <w:numId w:val="5"/>
        </w:numPr>
      </w:pPr>
      <w:r w:rsidRPr="00CF57A4">
        <w:t xml:space="preserve">Support telehealth initiatives to improve access for all Kansans to quality services.  Building this infrastructure now will pay off as the population ages and faces physical limitations in accessing standard treatment.  </w:t>
      </w:r>
    </w:p>
    <w:p w:rsidR="009A0E26" w:rsidRPr="00CF57A4" w:rsidRDefault="009A0E26" w:rsidP="00D34B82">
      <w:pPr>
        <w:pStyle w:val="ListParagraph"/>
        <w:numPr>
          <w:ilvl w:val="0"/>
          <w:numId w:val="5"/>
        </w:numPr>
      </w:pPr>
      <w:r w:rsidRPr="00CF57A4">
        <w:t xml:space="preserve">Update Senate Bill 123 practices to include current evidence based practices into existing programs.  </w:t>
      </w:r>
    </w:p>
    <w:p w:rsidR="009A0E26" w:rsidRPr="00CF57A4" w:rsidRDefault="009A0E26" w:rsidP="00D34B82">
      <w:pPr>
        <w:pStyle w:val="ListParagraph"/>
        <w:numPr>
          <w:ilvl w:val="0"/>
          <w:numId w:val="5"/>
        </w:numPr>
      </w:pPr>
      <w:r w:rsidRPr="00CF57A4">
        <w:rPr>
          <w:rFonts w:ascii="Calibri" w:hAnsi="Calibri"/>
          <w:color w:val="000000"/>
        </w:rPr>
        <w:t>Continue the Institution for Mental Disease (IMD) exclusion waiver for residential Substance Use Disorder treatment facilities in Kansas. This waiver allows for more than 16 treatment beds for Medicaid patients aged 21-64. Many residential Substance Use Disorder treatment facilities in Kansas currently have more than 16 beds and are often at capacity. </w:t>
      </w:r>
    </w:p>
    <w:p w:rsidR="001B4CC1" w:rsidRPr="00CF57A4" w:rsidRDefault="001B4CC1" w:rsidP="00BD7F9D">
      <w:pPr>
        <w:pStyle w:val="ListParagraph"/>
        <w:numPr>
          <w:ilvl w:val="0"/>
          <w:numId w:val="5"/>
        </w:numPr>
      </w:pPr>
      <w:r w:rsidRPr="00CF57A4">
        <w:t xml:space="preserve">Adopt coding practices that allow for the integration of CMHC, Primary Care, and Behavioral Health services to reduce the waste and gaps in service.  </w:t>
      </w:r>
    </w:p>
    <w:p w:rsidR="001B4CC1" w:rsidRPr="00CF57A4" w:rsidRDefault="00F73FF4" w:rsidP="001B4CC1">
      <w:r w:rsidRPr="00CF57A4">
        <w:t xml:space="preserve">The </w:t>
      </w:r>
      <w:r w:rsidRPr="00CF57A4">
        <w:rPr>
          <w:b/>
        </w:rPr>
        <w:t>Workforce Crisis</w:t>
      </w:r>
      <w:r w:rsidRPr="00CF57A4">
        <w:t xml:space="preserve"> in Kansas and across the nation, insufficient staffing is resulting in poorer services, increased professional burnout, and administrative strain. </w:t>
      </w:r>
      <w:r w:rsidR="001B4CC1" w:rsidRPr="00CF57A4">
        <w:t xml:space="preserve"> Kansas agencies are </w:t>
      </w:r>
      <w:r w:rsidRPr="00CF57A4">
        <w:t xml:space="preserve">using </w:t>
      </w:r>
      <w:r w:rsidR="001B4CC1" w:rsidRPr="00CF57A4">
        <w:t>effective approaches to prevention and treatment, but doing so requires adequately trained s</w:t>
      </w:r>
      <w:r w:rsidRPr="00CF57A4">
        <w:t xml:space="preserve">taff with manageable workloads:  </w:t>
      </w:r>
    </w:p>
    <w:p w:rsidR="00BD7F9D" w:rsidRPr="00CF57A4" w:rsidRDefault="001B4CC1" w:rsidP="00BD7F9D">
      <w:pPr>
        <w:pStyle w:val="ListParagraph"/>
        <w:numPr>
          <w:ilvl w:val="0"/>
          <w:numId w:val="6"/>
        </w:numPr>
      </w:pPr>
      <w:r w:rsidRPr="00CF57A4">
        <w:t xml:space="preserve">Support </w:t>
      </w:r>
      <w:r w:rsidR="004C1D61" w:rsidRPr="00CF57A4">
        <w:t xml:space="preserve">initiatives that </w:t>
      </w:r>
      <w:r w:rsidR="00F73FF4" w:rsidRPr="00CF57A4">
        <w:t>provide tuition reimbursement for addictions counselors equal to that provided to other behavioral health professionals.</w:t>
      </w:r>
    </w:p>
    <w:p w:rsidR="00BD7F9D" w:rsidRPr="00CF57A4" w:rsidRDefault="00F73FF4" w:rsidP="00BD7F9D">
      <w:pPr>
        <w:pStyle w:val="ListParagraph"/>
        <w:numPr>
          <w:ilvl w:val="0"/>
          <w:numId w:val="6"/>
        </w:numPr>
      </w:pPr>
      <w:r w:rsidRPr="00CF57A4">
        <w:t xml:space="preserve">As recommended above, support better funding for agencies so that they may provide compensation and benefits sufficient to encourage prospective professionals to seek training and licensure.  </w:t>
      </w:r>
    </w:p>
    <w:p w:rsidR="00F73FF4" w:rsidRPr="00CF57A4" w:rsidRDefault="00F73FF4" w:rsidP="00BD7F9D">
      <w:r w:rsidRPr="00CF57A4">
        <w:rPr>
          <w:b/>
        </w:rPr>
        <w:t>Prevention</w:t>
      </w:r>
      <w:r w:rsidRPr="00CF57A4">
        <w:t xml:space="preserve"> is ultimately the most humanitarian and practical approach to addiction problems.  </w:t>
      </w:r>
    </w:p>
    <w:p w:rsidR="009A0E26" w:rsidRPr="00CF57A4" w:rsidRDefault="009B1D13" w:rsidP="009A0E26">
      <w:pPr>
        <w:pStyle w:val="ListParagraph"/>
        <w:numPr>
          <w:ilvl w:val="0"/>
          <w:numId w:val="8"/>
        </w:numPr>
      </w:pPr>
      <w:r w:rsidRPr="00CF57A4">
        <w:t xml:space="preserve">Work to publicize the availability of prevention tools that may be used by community groups, schools, and families at </w:t>
      </w:r>
      <w:hyperlink r:id="rId6" w:history="1">
        <w:r w:rsidRPr="00CF57A4">
          <w:rPr>
            <w:rStyle w:val="Hyperlink"/>
          </w:rPr>
          <w:t>www.kansaspreventioncollaborative.org</w:t>
        </w:r>
      </w:hyperlink>
      <w:r w:rsidRPr="00CF57A4">
        <w:t xml:space="preserve">.  </w:t>
      </w:r>
    </w:p>
    <w:p w:rsidR="009A0E26" w:rsidRPr="00CF57A4" w:rsidRDefault="009A0E26" w:rsidP="00207828">
      <w:pPr>
        <w:pStyle w:val="xxmsonormal"/>
        <w:numPr>
          <w:ilvl w:val="0"/>
          <w:numId w:val="8"/>
        </w:numPr>
      </w:pPr>
      <w:r w:rsidRPr="00CF57A4">
        <w:rPr>
          <w:rFonts w:ascii="Calibri" w:hAnsi="Calibri"/>
          <w:color w:val="000000"/>
        </w:rPr>
        <w:t xml:space="preserve">Barrier: Even when agency staff are available for procuring grants, they do not have access to the data that national funding agencies require on grant applications. Two specific policies make Kansas uniquely deficient in this regard. </w:t>
      </w:r>
    </w:p>
    <w:p w:rsidR="009A0E26" w:rsidRPr="00CF57A4" w:rsidRDefault="009A0E26" w:rsidP="009A0E26">
      <w:pPr>
        <w:pStyle w:val="xxmsonormal"/>
        <w:numPr>
          <w:ilvl w:val="1"/>
          <w:numId w:val="8"/>
        </w:numPr>
      </w:pPr>
      <w:r w:rsidRPr="00CF57A4">
        <w:rPr>
          <w:rFonts w:ascii="Calibri" w:hAnsi="Calibri"/>
          <w:color w:val="000000"/>
        </w:rPr>
        <w:t>Recommendation: Address the following policies so that agencies may make better, data-based decisions and compete for national resources:</w:t>
      </w:r>
    </w:p>
    <w:p w:rsidR="009A0E26" w:rsidRPr="00CF57A4" w:rsidRDefault="009A0E26" w:rsidP="009A0E26">
      <w:pPr>
        <w:pStyle w:val="xxmsonormal"/>
        <w:numPr>
          <w:ilvl w:val="2"/>
          <w:numId w:val="8"/>
        </w:numPr>
      </w:pPr>
      <w:r w:rsidRPr="00CF57A4">
        <w:rPr>
          <w:rFonts w:ascii="Calibri" w:hAnsi="Calibri"/>
          <w:color w:val="000000"/>
        </w:rPr>
        <w:t>Reverse the Active Consent policy that currently requires active parent consent on the Kansas Communities that Care Student Survey. At this point the sample of student responses is so skewed that the data are not able to be used for meaningful decision making.</w:t>
      </w:r>
    </w:p>
    <w:p w:rsidR="009A0E26" w:rsidRPr="00CF57A4" w:rsidRDefault="009A0E26" w:rsidP="009A0E26">
      <w:pPr>
        <w:pStyle w:val="xxmsonormal"/>
        <w:numPr>
          <w:ilvl w:val="2"/>
          <w:numId w:val="8"/>
        </w:numPr>
      </w:pPr>
      <w:r w:rsidRPr="00CF57A4">
        <w:rPr>
          <w:rFonts w:ascii="Calibri" w:hAnsi="Calibri"/>
          <w:color w:val="000000"/>
        </w:rPr>
        <w:lastRenderedPageBreak/>
        <w:t xml:space="preserve">Review the KDADS policy that does not allow Beacon Health Options to give county specific data to providers. Explore options to report county data about substance use, treatment access, and outcomes to agencies in order to aid in strategizing local and state response to addiction. </w:t>
      </w:r>
    </w:p>
    <w:p w:rsidR="003A0805" w:rsidRPr="00CF57A4" w:rsidRDefault="003A0805" w:rsidP="003A0805">
      <w:pPr>
        <w:pStyle w:val="xxmsonormal"/>
        <w:ind w:left="1800"/>
      </w:pPr>
    </w:p>
    <w:p w:rsidR="009A0E26" w:rsidRPr="00CF57A4" w:rsidRDefault="009A0E26" w:rsidP="009A0E26">
      <w:pPr>
        <w:pStyle w:val="ListParagraph"/>
      </w:pPr>
    </w:p>
    <w:p w:rsidR="009B1D13" w:rsidRPr="009B1D13" w:rsidRDefault="009B1D13" w:rsidP="009B1D13">
      <w:r w:rsidRPr="00CF57A4">
        <w:t>In</w:t>
      </w:r>
      <w:r w:rsidRPr="00CF57A4">
        <w:rPr>
          <w:b/>
        </w:rPr>
        <w:t xml:space="preserve"> conclusion, </w:t>
      </w:r>
      <w:r w:rsidRPr="00CF57A4">
        <w:t>we appreciate your commitment to Kansas and we hope you find this report useful.</w:t>
      </w:r>
      <w:r>
        <w:t xml:space="preserve">  </w:t>
      </w:r>
    </w:p>
    <w:p w:rsidR="00BD7F9D" w:rsidRDefault="00BD7F9D" w:rsidP="00BD7F9D"/>
    <w:sectPr w:rsidR="00BD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176"/>
    <w:multiLevelType w:val="hybridMultilevel"/>
    <w:tmpl w:val="6784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0590"/>
    <w:multiLevelType w:val="hybridMultilevel"/>
    <w:tmpl w:val="3D5AF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D043C1"/>
    <w:multiLevelType w:val="hybridMultilevel"/>
    <w:tmpl w:val="EDB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93B39"/>
    <w:multiLevelType w:val="hybridMultilevel"/>
    <w:tmpl w:val="50ECD2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43734F1A"/>
    <w:multiLevelType w:val="hybridMultilevel"/>
    <w:tmpl w:val="97F0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67878"/>
    <w:multiLevelType w:val="hybridMultilevel"/>
    <w:tmpl w:val="DFA2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C14C4"/>
    <w:multiLevelType w:val="hybridMultilevel"/>
    <w:tmpl w:val="924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D475C"/>
    <w:multiLevelType w:val="hybridMultilevel"/>
    <w:tmpl w:val="BDFAC8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1B"/>
    <w:rsid w:val="00115B61"/>
    <w:rsid w:val="001B4CC1"/>
    <w:rsid w:val="002151E9"/>
    <w:rsid w:val="003A0805"/>
    <w:rsid w:val="004238DC"/>
    <w:rsid w:val="004C1D61"/>
    <w:rsid w:val="004E2BAF"/>
    <w:rsid w:val="00665B6F"/>
    <w:rsid w:val="00755EF9"/>
    <w:rsid w:val="009A0E26"/>
    <w:rsid w:val="009B1D13"/>
    <w:rsid w:val="00A33971"/>
    <w:rsid w:val="00B94D28"/>
    <w:rsid w:val="00BD7F9D"/>
    <w:rsid w:val="00C94509"/>
    <w:rsid w:val="00CF365B"/>
    <w:rsid w:val="00CF57A4"/>
    <w:rsid w:val="00F73FF4"/>
    <w:rsid w:val="00FA4CF0"/>
    <w:rsid w:val="00FD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E31C"/>
  <w15:chartTrackingRefBased/>
  <w15:docId w15:val="{DCD6BF45-8FE0-48AE-B931-122C2586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1B"/>
    <w:pPr>
      <w:ind w:left="720"/>
      <w:contextualSpacing/>
    </w:pPr>
  </w:style>
  <w:style w:type="character" w:styleId="Hyperlink">
    <w:name w:val="Hyperlink"/>
    <w:basedOn w:val="DefaultParagraphFont"/>
    <w:uiPriority w:val="99"/>
    <w:unhideWhenUsed/>
    <w:rsid w:val="009B1D13"/>
    <w:rPr>
      <w:color w:val="0563C1" w:themeColor="hyperlink"/>
      <w:u w:val="single"/>
    </w:rPr>
  </w:style>
  <w:style w:type="character" w:customStyle="1" w:styleId="UnresolvedMention">
    <w:name w:val="Unresolved Mention"/>
    <w:basedOn w:val="DefaultParagraphFont"/>
    <w:uiPriority w:val="99"/>
    <w:semiHidden/>
    <w:unhideWhenUsed/>
    <w:rsid w:val="009B1D13"/>
    <w:rPr>
      <w:color w:val="808080"/>
      <w:shd w:val="clear" w:color="auto" w:fill="E6E6E6"/>
    </w:rPr>
  </w:style>
  <w:style w:type="table" w:styleId="TableGrid">
    <w:name w:val="Table Grid"/>
    <w:basedOn w:val="TableNormal"/>
    <w:uiPriority w:val="59"/>
    <w:rsid w:val="00FA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A0E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1465">
      <w:bodyDiv w:val="1"/>
      <w:marLeft w:val="0"/>
      <w:marRight w:val="0"/>
      <w:marTop w:val="0"/>
      <w:marBottom w:val="0"/>
      <w:divBdr>
        <w:top w:val="none" w:sz="0" w:space="0" w:color="auto"/>
        <w:left w:val="none" w:sz="0" w:space="0" w:color="auto"/>
        <w:bottom w:val="none" w:sz="0" w:space="0" w:color="auto"/>
        <w:right w:val="none" w:sz="0" w:space="0" w:color="auto"/>
      </w:divBdr>
    </w:div>
    <w:div w:id="13755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nsaspreventioncollaborativ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6DB6-A08A-47EC-BEF7-8A948BD5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Kayla Waters</cp:lastModifiedBy>
  <cp:revision>10</cp:revision>
  <cp:lastPrinted>2018-09-27T16:29:00Z</cp:lastPrinted>
  <dcterms:created xsi:type="dcterms:W3CDTF">2018-04-24T16:52:00Z</dcterms:created>
  <dcterms:modified xsi:type="dcterms:W3CDTF">2018-09-27T16:29:00Z</dcterms:modified>
</cp:coreProperties>
</file>