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F081" w14:textId="0941BAC9" w:rsidR="00361A4F" w:rsidRDefault="00986667" w:rsidP="005778A0">
      <w:pPr>
        <w:jc w:val="center"/>
        <w:rPr>
          <w:b/>
          <w:bCs/>
          <w:sz w:val="36"/>
          <w:szCs w:val="40"/>
        </w:rPr>
      </w:pPr>
      <w:r>
        <w:rPr>
          <w:b/>
          <w:bCs/>
          <w:sz w:val="36"/>
          <w:szCs w:val="40"/>
        </w:rPr>
        <w:t>Targeted Case Management Study</w:t>
      </w:r>
      <w:r w:rsidR="0087590E">
        <w:rPr>
          <w:b/>
          <w:bCs/>
          <w:sz w:val="36"/>
          <w:szCs w:val="40"/>
        </w:rPr>
        <w:t xml:space="preserve"> </w:t>
      </w:r>
      <w:r w:rsidR="000F6E56">
        <w:rPr>
          <w:b/>
          <w:bCs/>
          <w:sz w:val="36"/>
          <w:szCs w:val="40"/>
        </w:rPr>
        <w:t xml:space="preserve">Stakeholder Engagement </w:t>
      </w:r>
      <w:r w:rsidR="00C23F3D">
        <w:rPr>
          <w:b/>
          <w:bCs/>
          <w:sz w:val="36"/>
          <w:szCs w:val="40"/>
        </w:rPr>
        <w:t xml:space="preserve">Townhall </w:t>
      </w:r>
      <w:r w:rsidR="00947C65">
        <w:rPr>
          <w:b/>
          <w:bCs/>
          <w:sz w:val="36"/>
          <w:szCs w:val="40"/>
        </w:rPr>
        <w:t>M</w:t>
      </w:r>
      <w:r w:rsidR="00C23F3D">
        <w:rPr>
          <w:b/>
          <w:bCs/>
          <w:sz w:val="36"/>
          <w:szCs w:val="40"/>
        </w:rPr>
        <w:t>eeting</w:t>
      </w:r>
    </w:p>
    <w:p w14:paraId="20256756" w14:textId="77777777" w:rsidR="00FC72D7" w:rsidRDefault="00FC72D7" w:rsidP="00FC72D7">
      <w:pPr>
        <w:jc w:val="center"/>
        <w:rPr>
          <w:b/>
          <w:bCs/>
          <w:sz w:val="36"/>
          <w:szCs w:val="40"/>
        </w:rPr>
      </w:pPr>
    </w:p>
    <w:p w14:paraId="1037F90A" w14:textId="28065AF6" w:rsidR="001E3A56" w:rsidRDefault="001E3A56" w:rsidP="006B0889">
      <w:r>
        <w:t xml:space="preserve">Please join us at the Targeted Case Management Study Townhall meeting. </w:t>
      </w:r>
    </w:p>
    <w:p w14:paraId="48860354" w14:textId="15225FFE" w:rsidR="006B0889" w:rsidRDefault="0087590E" w:rsidP="006B0889">
      <w:bookmarkStart w:id="0" w:name="OLE_LINK2"/>
      <w:r>
        <w:t>The Kansas Department</w:t>
      </w:r>
      <w:r w:rsidR="00810251">
        <w:t xml:space="preserve"> for Aging and Disability Services (KDADS) and Public Consulting Group LLC (</w:t>
      </w:r>
      <w:r w:rsidR="006B0889">
        <w:t>PCG</w:t>
      </w:r>
      <w:r w:rsidR="00810251">
        <w:t>)</w:t>
      </w:r>
      <w:r w:rsidR="006B0889">
        <w:t xml:space="preserve"> invite all stakeholders to participate in </w:t>
      </w:r>
      <w:r w:rsidR="00451658">
        <w:t>one of</w:t>
      </w:r>
      <w:r w:rsidR="006B0889">
        <w:t xml:space="preserve"> our </w:t>
      </w:r>
      <w:r w:rsidR="00181F7C">
        <w:t>Stakeholder Engagement Townhall</w:t>
      </w:r>
      <w:r w:rsidR="006B0889">
        <w:t xml:space="preserve"> Meeting</w:t>
      </w:r>
      <w:r w:rsidR="00451658">
        <w:t>s</w:t>
      </w:r>
      <w:r w:rsidR="006B0889">
        <w:t xml:space="preserve">. </w:t>
      </w:r>
      <w:r w:rsidR="00181F7C">
        <w:t>Th</w:t>
      </w:r>
      <w:r w:rsidR="00451658">
        <w:t>ese</w:t>
      </w:r>
      <w:r w:rsidR="00181F7C">
        <w:t xml:space="preserve"> </w:t>
      </w:r>
      <w:r w:rsidR="006B0889">
        <w:t>meeting</w:t>
      </w:r>
      <w:r w:rsidR="00451658">
        <w:t>s</w:t>
      </w:r>
      <w:r w:rsidR="006B0889">
        <w:t xml:space="preserve"> </w:t>
      </w:r>
      <w:r w:rsidR="00BF38C0">
        <w:t xml:space="preserve">will be used </w:t>
      </w:r>
      <w:r w:rsidR="00F23708">
        <w:t xml:space="preserve">as </w:t>
      </w:r>
      <w:r w:rsidR="00505251">
        <w:t>an</w:t>
      </w:r>
      <w:r w:rsidR="00BB3E05">
        <w:t xml:space="preserve"> opportunity for stakeholders, KDADS, and PCG to come together to provide project background, updates, and offer time for discussion. </w:t>
      </w:r>
      <w:r w:rsidR="00FA5F18">
        <w:t>For additional information, please refe</w:t>
      </w:r>
      <w:r w:rsidR="00724AEF">
        <w:t xml:space="preserve">r to </w:t>
      </w:r>
      <w:hyperlink w:anchor="_Project_Information" w:history="1">
        <w:r w:rsidR="00724AEF" w:rsidRPr="004D3D3B">
          <w:rPr>
            <w:rStyle w:val="Hyperlink"/>
          </w:rPr>
          <w:t>Project Information</w:t>
        </w:r>
      </w:hyperlink>
      <w:r w:rsidR="00724AEF">
        <w:t xml:space="preserve"> below</w:t>
      </w:r>
      <w:r w:rsidR="0074336B">
        <w:t>.</w:t>
      </w:r>
    </w:p>
    <w:p w14:paraId="5E057475" w14:textId="14F36AA4" w:rsidR="0098657C" w:rsidRDefault="00704EFD" w:rsidP="006B0889">
      <w:r>
        <w:t xml:space="preserve">Two Townhall </w:t>
      </w:r>
      <w:r w:rsidR="00815338">
        <w:t xml:space="preserve">Meeting options are available </w:t>
      </w:r>
      <w:r w:rsidR="00231F6C">
        <w:t>for registration</w:t>
      </w:r>
      <w:r w:rsidR="001B0FDF">
        <w:t xml:space="preserve">. The same information will be shared at both meetings, so </w:t>
      </w:r>
      <w:r w:rsidR="00CE2312">
        <w:t>you do not have to attend both. Please register for the meeting time that best fits your schedule.</w:t>
      </w:r>
    </w:p>
    <w:p w14:paraId="3D1A4D6D" w14:textId="34E55BF4" w:rsidR="00361A4F" w:rsidRDefault="006B0889" w:rsidP="006B0889">
      <w:bookmarkStart w:id="1" w:name="OLE_LINK3"/>
      <w:bookmarkEnd w:id="0"/>
      <w:r>
        <w:t xml:space="preserve">The </w:t>
      </w:r>
      <w:r w:rsidR="00943AB5">
        <w:t xml:space="preserve">meeting information is below: </w:t>
      </w:r>
    </w:p>
    <w:tbl>
      <w:tblPr>
        <w:tblStyle w:val="TableGrid"/>
        <w:tblW w:w="9350" w:type="dxa"/>
        <w:tblLook w:val="04A0" w:firstRow="1" w:lastRow="0" w:firstColumn="1" w:lastColumn="0" w:noHBand="0" w:noVBand="1"/>
      </w:tblPr>
      <w:tblGrid>
        <w:gridCol w:w="1018"/>
        <w:gridCol w:w="1050"/>
        <w:gridCol w:w="995"/>
        <w:gridCol w:w="1612"/>
        <w:gridCol w:w="2266"/>
        <w:gridCol w:w="2409"/>
      </w:tblGrid>
      <w:tr w:rsidR="00943AB5" w14:paraId="4A2BC85F" w14:textId="77777777" w:rsidTr="009B70EC">
        <w:tc>
          <w:tcPr>
            <w:tcW w:w="1018" w:type="dxa"/>
            <w:shd w:val="clear" w:color="auto" w:fill="0B3677" w:themeFill="accent1"/>
          </w:tcPr>
          <w:p w14:paraId="4457D4CB" w14:textId="57B86FCA" w:rsidR="00943AB5" w:rsidRPr="009748F9" w:rsidRDefault="00943AB5" w:rsidP="009748F9">
            <w:pPr>
              <w:jc w:val="center"/>
              <w:rPr>
                <w:b/>
                <w:bCs/>
              </w:rPr>
            </w:pPr>
            <w:r w:rsidRPr="009748F9">
              <w:rPr>
                <w:b/>
                <w:bCs/>
              </w:rPr>
              <w:t>Meeting</w:t>
            </w:r>
          </w:p>
        </w:tc>
        <w:tc>
          <w:tcPr>
            <w:tcW w:w="1050" w:type="dxa"/>
            <w:shd w:val="clear" w:color="auto" w:fill="0B3677" w:themeFill="accent1"/>
          </w:tcPr>
          <w:p w14:paraId="788B4A08" w14:textId="03A254FB" w:rsidR="00943AB5" w:rsidRPr="009748F9" w:rsidRDefault="00943AB5" w:rsidP="009748F9">
            <w:pPr>
              <w:jc w:val="center"/>
              <w:rPr>
                <w:b/>
                <w:bCs/>
              </w:rPr>
            </w:pPr>
            <w:r w:rsidRPr="009748F9">
              <w:rPr>
                <w:b/>
                <w:bCs/>
              </w:rPr>
              <w:t>Day</w:t>
            </w:r>
          </w:p>
        </w:tc>
        <w:tc>
          <w:tcPr>
            <w:tcW w:w="995" w:type="dxa"/>
            <w:shd w:val="clear" w:color="auto" w:fill="0B3677" w:themeFill="accent1"/>
          </w:tcPr>
          <w:p w14:paraId="12A41064" w14:textId="0BF4F876" w:rsidR="00943AB5" w:rsidRPr="009748F9" w:rsidRDefault="00943AB5" w:rsidP="009748F9">
            <w:pPr>
              <w:jc w:val="center"/>
              <w:rPr>
                <w:b/>
                <w:bCs/>
              </w:rPr>
            </w:pPr>
            <w:r w:rsidRPr="009748F9">
              <w:rPr>
                <w:b/>
                <w:bCs/>
              </w:rPr>
              <w:t>Date</w:t>
            </w:r>
          </w:p>
        </w:tc>
        <w:tc>
          <w:tcPr>
            <w:tcW w:w="1612" w:type="dxa"/>
            <w:shd w:val="clear" w:color="auto" w:fill="0B3677" w:themeFill="accent1"/>
          </w:tcPr>
          <w:p w14:paraId="3B158CFE" w14:textId="10CFC13B" w:rsidR="00943AB5" w:rsidRPr="009748F9" w:rsidRDefault="00943AB5" w:rsidP="009748F9">
            <w:pPr>
              <w:jc w:val="center"/>
              <w:rPr>
                <w:b/>
                <w:bCs/>
              </w:rPr>
            </w:pPr>
            <w:r w:rsidRPr="009748F9">
              <w:rPr>
                <w:b/>
                <w:bCs/>
              </w:rPr>
              <w:t>Time</w:t>
            </w:r>
          </w:p>
        </w:tc>
        <w:tc>
          <w:tcPr>
            <w:tcW w:w="2266" w:type="dxa"/>
            <w:shd w:val="clear" w:color="auto" w:fill="0B3677" w:themeFill="accent1"/>
          </w:tcPr>
          <w:p w14:paraId="3013E058" w14:textId="159100A2" w:rsidR="00943AB5" w:rsidRPr="009748F9" w:rsidRDefault="00943AB5" w:rsidP="009748F9">
            <w:pPr>
              <w:jc w:val="center"/>
              <w:rPr>
                <w:b/>
                <w:bCs/>
              </w:rPr>
            </w:pPr>
            <w:r>
              <w:rPr>
                <w:b/>
                <w:bCs/>
              </w:rPr>
              <w:t xml:space="preserve">Location </w:t>
            </w:r>
          </w:p>
        </w:tc>
        <w:tc>
          <w:tcPr>
            <w:tcW w:w="2409" w:type="dxa"/>
            <w:shd w:val="clear" w:color="auto" w:fill="0B3677" w:themeFill="accent1"/>
          </w:tcPr>
          <w:p w14:paraId="44CEBCBF" w14:textId="3BD92051" w:rsidR="00943AB5" w:rsidRPr="009748F9" w:rsidRDefault="002962F7" w:rsidP="009748F9">
            <w:pPr>
              <w:jc w:val="center"/>
              <w:rPr>
                <w:b/>
                <w:bCs/>
              </w:rPr>
            </w:pPr>
            <w:r>
              <w:rPr>
                <w:b/>
                <w:bCs/>
              </w:rPr>
              <w:t>Registration Link</w:t>
            </w:r>
          </w:p>
        </w:tc>
      </w:tr>
      <w:tr w:rsidR="00943AB5" w14:paraId="5AE1F165" w14:textId="77777777" w:rsidTr="009B70EC">
        <w:tc>
          <w:tcPr>
            <w:tcW w:w="1018" w:type="dxa"/>
          </w:tcPr>
          <w:p w14:paraId="0CB2CE50" w14:textId="6EA4C46C" w:rsidR="00943AB5" w:rsidRDefault="00943AB5" w:rsidP="006B0889">
            <w:r>
              <w:t>Townhall Meeting</w:t>
            </w:r>
          </w:p>
        </w:tc>
        <w:tc>
          <w:tcPr>
            <w:tcW w:w="1050" w:type="dxa"/>
          </w:tcPr>
          <w:p w14:paraId="42A198D2" w14:textId="4BD50A48" w:rsidR="00943AB5" w:rsidRDefault="00943AB5" w:rsidP="006B0889">
            <w:r>
              <w:t>Thursday</w:t>
            </w:r>
          </w:p>
        </w:tc>
        <w:tc>
          <w:tcPr>
            <w:tcW w:w="995" w:type="dxa"/>
          </w:tcPr>
          <w:p w14:paraId="4C708E40" w14:textId="2C459AB2" w:rsidR="00943AB5" w:rsidRDefault="00943AB5" w:rsidP="006B0889">
            <w:r>
              <w:t>2/1/2024</w:t>
            </w:r>
          </w:p>
        </w:tc>
        <w:tc>
          <w:tcPr>
            <w:tcW w:w="1612" w:type="dxa"/>
          </w:tcPr>
          <w:p w14:paraId="150DFE8D" w14:textId="2A3601E5" w:rsidR="00943AB5" w:rsidRDefault="0046618D" w:rsidP="006B0889">
            <w:r>
              <w:t>12:30-2:00 PM</w:t>
            </w:r>
          </w:p>
        </w:tc>
        <w:tc>
          <w:tcPr>
            <w:tcW w:w="2266" w:type="dxa"/>
          </w:tcPr>
          <w:p w14:paraId="297ED29A" w14:textId="60F4C989" w:rsidR="004E1600" w:rsidRDefault="009F3C12" w:rsidP="01BEE7AD">
            <w:bookmarkStart w:id="2" w:name="OLE_LINK1"/>
            <w:r>
              <w:t xml:space="preserve">Topeka &amp; Shawnee County Public </w:t>
            </w:r>
            <w:r w:rsidR="004E1600">
              <w:t>Library</w:t>
            </w:r>
            <w:r w:rsidR="004E1600" w:rsidRPr="004E1600">
              <w:t xml:space="preserve"> – Marvin Auditorium 101C</w:t>
            </w:r>
          </w:p>
          <w:p w14:paraId="2C655556" w14:textId="77777777" w:rsidR="004E1600" w:rsidRDefault="004E1600" w:rsidP="01BEE7AD"/>
          <w:p w14:paraId="70BF60EB" w14:textId="48761C7E" w:rsidR="00943AB5" w:rsidRDefault="004E1600" w:rsidP="01BEE7AD">
            <w:r>
              <w:t>1515</w:t>
            </w:r>
            <w:r w:rsidRPr="004E1600">
              <w:t xml:space="preserve"> SW 10th Ave, Topeka, KS 66604</w:t>
            </w:r>
            <w:bookmarkEnd w:id="2"/>
          </w:p>
        </w:tc>
        <w:tc>
          <w:tcPr>
            <w:tcW w:w="2409" w:type="dxa"/>
          </w:tcPr>
          <w:p w14:paraId="54EB1DC5" w14:textId="221365B7" w:rsidR="00943AB5" w:rsidRDefault="00000000" w:rsidP="01BEE7AD">
            <w:hyperlink r:id="rId11" w:history="1">
              <w:r w:rsidR="00BB4BC6" w:rsidRPr="00BB4BC6">
                <w:rPr>
                  <w:rStyle w:val="Hyperlink"/>
                </w:rPr>
                <w:t>Click Here to Register</w:t>
              </w:r>
            </w:hyperlink>
            <w:r w:rsidR="00BB4BC6">
              <w:t xml:space="preserve"> </w:t>
            </w:r>
          </w:p>
        </w:tc>
      </w:tr>
      <w:tr w:rsidR="0098657C" w14:paraId="7CA8988F" w14:textId="77777777" w:rsidTr="009B70EC">
        <w:tc>
          <w:tcPr>
            <w:tcW w:w="1018" w:type="dxa"/>
          </w:tcPr>
          <w:p w14:paraId="22CC105E" w14:textId="3CF23040" w:rsidR="0098657C" w:rsidRDefault="0098657C" w:rsidP="006B0889">
            <w:r>
              <w:t>Townhall Meeting</w:t>
            </w:r>
          </w:p>
        </w:tc>
        <w:tc>
          <w:tcPr>
            <w:tcW w:w="1050" w:type="dxa"/>
          </w:tcPr>
          <w:p w14:paraId="099CBBB8" w14:textId="0D17E3F2" w:rsidR="0098657C" w:rsidRDefault="0098657C" w:rsidP="006B0889">
            <w:r>
              <w:t>Thursday</w:t>
            </w:r>
          </w:p>
        </w:tc>
        <w:tc>
          <w:tcPr>
            <w:tcW w:w="995" w:type="dxa"/>
          </w:tcPr>
          <w:p w14:paraId="5CDA45F4" w14:textId="05CF4A98" w:rsidR="0098657C" w:rsidRDefault="0098657C" w:rsidP="006B0889">
            <w:r>
              <w:t>2/1/2024</w:t>
            </w:r>
          </w:p>
        </w:tc>
        <w:tc>
          <w:tcPr>
            <w:tcW w:w="1612" w:type="dxa"/>
          </w:tcPr>
          <w:p w14:paraId="3CBA7FC0" w14:textId="3E6C6472" w:rsidR="0098657C" w:rsidRDefault="00D571B0" w:rsidP="006B0889">
            <w:r>
              <w:t>3:00-4:30 PM</w:t>
            </w:r>
          </w:p>
        </w:tc>
        <w:tc>
          <w:tcPr>
            <w:tcW w:w="2266" w:type="dxa"/>
          </w:tcPr>
          <w:p w14:paraId="7CACDDD7" w14:textId="77777777" w:rsidR="004E1600" w:rsidRDefault="00BE57CF" w:rsidP="01BEE7AD">
            <w:r>
              <w:t>Topeka &amp; Shawnee County Public Library</w:t>
            </w:r>
            <w:r w:rsidR="004E1600">
              <w:t xml:space="preserve"> </w:t>
            </w:r>
            <w:r>
              <w:t xml:space="preserve"> </w:t>
            </w:r>
            <w:r w:rsidR="004E1600">
              <w:t xml:space="preserve"> – Marvin Auditorium 101C</w:t>
            </w:r>
            <w:r w:rsidR="004E1600" w:rsidRPr="004E1600">
              <w:t xml:space="preserve"> </w:t>
            </w:r>
          </w:p>
          <w:p w14:paraId="143A6229" w14:textId="77777777" w:rsidR="004E1600" w:rsidRDefault="004E1600" w:rsidP="01BEE7AD"/>
          <w:p w14:paraId="59C3C7FC" w14:textId="0EC770AD" w:rsidR="0098657C" w:rsidRDefault="004E1600" w:rsidP="01BEE7AD">
            <w:r w:rsidRPr="004E1600">
              <w:t>1515 SW 10th Ave, Topeka, KS 66604</w:t>
            </w:r>
          </w:p>
        </w:tc>
        <w:tc>
          <w:tcPr>
            <w:tcW w:w="2409" w:type="dxa"/>
          </w:tcPr>
          <w:p w14:paraId="46DBE337" w14:textId="1452AD32" w:rsidR="0098657C" w:rsidRDefault="00000000" w:rsidP="01BEE7AD">
            <w:hyperlink r:id="rId12" w:history="1">
              <w:r w:rsidR="00BB4BC6" w:rsidRPr="00BB4BC6">
                <w:rPr>
                  <w:rStyle w:val="Hyperlink"/>
                </w:rPr>
                <w:t>Click Here to Register</w:t>
              </w:r>
            </w:hyperlink>
            <w:r w:rsidR="00BB4BC6">
              <w:t xml:space="preserve"> </w:t>
            </w:r>
          </w:p>
        </w:tc>
      </w:tr>
      <w:bookmarkEnd w:id="1"/>
    </w:tbl>
    <w:p w14:paraId="0EF01D9C" w14:textId="7CE0F83C" w:rsidR="00361A4F" w:rsidRDefault="00361A4F" w:rsidP="00361A4F"/>
    <w:p w14:paraId="65F0FA22" w14:textId="61B8ADCE" w:rsidR="0074336B" w:rsidRDefault="0074336B" w:rsidP="0074336B">
      <w:pPr>
        <w:pStyle w:val="Heading1"/>
      </w:pPr>
      <w:bookmarkStart w:id="3" w:name="_Project_Information"/>
      <w:bookmarkEnd w:id="3"/>
      <w:r>
        <w:t>Project Information</w:t>
      </w:r>
    </w:p>
    <w:p w14:paraId="53441396" w14:textId="41316E98" w:rsidR="0074336B" w:rsidRDefault="0074336B" w:rsidP="0074336B">
      <w:pPr>
        <w:rPr>
          <w:szCs w:val="20"/>
        </w:rPr>
      </w:pPr>
      <w:r>
        <w:t xml:space="preserve">The Kansas Department for Aging and Disability Services (KDADS) has contracted with Public Consulting Group LLC (PCG) to conduct a </w:t>
      </w:r>
      <w:r>
        <w:rPr>
          <w:szCs w:val="20"/>
        </w:rPr>
        <w:t xml:space="preserve">study to identify different strategies that could be implemented to enable the State of Kansas intellectual and developmental disabilities (IDD) Targeted Case Management (TCM) system to come into compliance with federal waiver regulations and guidelines outlined in 42 CFR 441.301(c)(1)(vi). </w:t>
      </w:r>
    </w:p>
    <w:p w14:paraId="75B030FD" w14:textId="77777777" w:rsidR="0074336B" w:rsidRDefault="0074336B" w:rsidP="0074336B">
      <w:pPr>
        <w:ind w:left="720"/>
        <w:rPr>
          <w:i/>
          <w:iCs/>
          <w:szCs w:val="20"/>
        </w:rPr>
      </w:pPr>
      <w:r>
        <w:rPr>
          <w:szCs w:val="20"/>
        </w:rPr>
        <w:t>42 CFR 441.301(c)(1)(vi) “</w:t>
      </w:r>
      <w:r>
        <w:rPr>
          <w:i/>
          <w:iCs/>
          <w:szCs w:val="20"/>
        </w:rPr>
        <w:t xml:space="preserve">Providers of HCBS for the individual, or those who have an interest in or are employed by a provider of HCBS for the individual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w:t>
      </w:r>
      <w:r>
        <w:rPr>
          <w:i/>
          <w:iCs/>
          <w:szCs w:val="20"/>
        </w:rPr>
        <w:lastRenderedPageBreak/>
        <w:t>interest protections including separation of entity and provider functions within provider entities, which must be approved by Centers for Medicare &amp; Medicaid Services (CMS). Individuals must be provided with a clear and accessible alternative dispute resolution process.”</w:t>
      </w:r>
    </w:p>
    <w:p w14:paraId="03544F67" w14:textId="77777777" w:rsidR="0074336B" w:rsidRDefault="0074336B" w:rsidP="0074336B">
      <w:pPr>
        <w:rPr>
          <w:rFonts w:cstheme="minorHAnsi"/>
          <w:szCs w:val="20"/>
        </w:rPr>
      </w:pPr>
      <w:r>
        <w:rPr>
          <w:rFonts w:cstheme="minorHAnsi"/>
          <w:b/>
          <w:bCs/>
          <w:color w:val="000000"/>
          <w:szCs w:val="20"/>
        </w:rPr>
        <w:t>Link to Code of Federal Regulations: </w:t>
      </w:r>
      <w:hyperlink r:id="rId13" w:history="1">
        <w:r>
          <w:rPr>
            <w:rStyle w:val="Hyperlink"/>
            <w:rFonts w:cstheme="minorHAnsi"/>
            <w:szCs w:val="20"/>
          </w:rPr>
          <w:t>https://www.ecfr.gov/current/title-42/chapter-IV/subchapter-C/part-441/subpart-G/section-441.301</w:t>
        </w:r>
      </w:hyperlink>
    </w:p>
    <w:p w14:paraId="5476CEB3" w14:textId="77777777" w:rsidR="0074336B" w:rsidRDefault="0074336B" w:rsidP="0074336B">
      <w:r>
        <w:rPr>
          <w:szCs w:val="20"/>
        </w:rPr>
        <w:t>This study will provide recommendations to improve billing and system structures that focus on service provision and the reduction of complex administrative systems that interfere with the intent of TCM services. KDADS believes that an improved and compliant service system would expand access to services, improve quality assurance of services provided and eliminate structural conflicts of interest for waiver individuals.</w:t>
      </w:r>
    </w:p>
    <w:p w14:paraId="6CE49047" w14:textId="77777777" w:rsidR="0074336B" w:rsidRDefault="0074336B" w:rsidP="0074336B">
      <w:pPr>
        <w:rPr>
          <w:szCs w:val="20"/>
        </w:rPr>
      </w:pPr>
      <w:r>
        <w:rPr>
          <w:szCs w:val="20"/>
        </w:rPr>
        <w:t>KDADS contracted with PCG to analyze the current TCM system and structure as well as the TCM workflow correlation between the Managed Care Organizations (MCO) and the Community Developmental Disabilities Organizations (CDDO). PCG is exploring different IDD TCM models across the country to assist Kansas in streamlining services, mitigating conflict of interest, and enhancing service provision to individuals receiving IDD TCM services in the State of Kansas.</w:t>
      </w:r>
    </w:p>
    <w:p w14:paraId="177FF02D" w14:textId="77777777" w:rsidR="0074336B" w:rsidRDefault="0074336B" w:rsidP="0074336B">
      <w:pPr>
        <w:rPr>
          <w:szCs w:val="20"/>
        </w:rPr>
      </w:pPr>
      <w:r>
        <w:rPr>
          <w:szCs w:val="20"/>
        </w:rPr>
        <w:t>PCG and KDADS are committed to collaborating with all stakeholders and are providing many opportunities for stakeholder engagement to collect feedback on the current conflict of interest, conflict free case management, and system structures issues in the HCBS IDD programs. PCG and KDADS value the input of stakeholders who have experience working in or receiving services from the HCBS IDD programs, as they can provide insights into how the system operates in Kansas. PCG and KDADS also need to hear from stakeholders about their suggestions and preferences for how to achieve compliance with the federal regulations, which will help PCG develop realistic and relevant recommendations for the state of Kansas.</w:t>
      </w:r>
    </w:p>
    <w:p w14:paraId="222DB5E8" w14:textId="4DC47E61" w:rsidR="0074336B" w:rsidRDefault="0074336B" w:rsidP="0074336B">
      <w:pPr>
        <w:rPr>
          <w:szCs w:val="20"/>
        </w:rPr>
      </w:pPr>
      <w:r>
        <w:rPr>
          <w:szCs w:val="20"/>
        </w:rPr>
        <w:t xml:space="preserve">While this study is focused on TCM, PCG and KDADS need to understand how the entire system operates together, so final recommendations </w:t>
      </w:r>
      <w:r w:rsidR="002B2946">
        <w:rPr>
          <w:szCs w:val="20"/>
        </w:rPr>
        <w:t xml:space="preserve">consider an </w:t>
      </w:r>
      <w:r w:rsidR="00474F92">
        <w:rPr>
          <w:szCs w:val="20"/>
        </w:rPr>
        <w:t>individual’s</w:t>
      </w:r>
      <w:r w:rsidR="002B2946">
        <w:rPr>
          <w:szCs w:val="20"/>
        </w:rPr>
        <w:t xml:space="preserve"> </w:t>
      </w:r>
      <w:r w:rsidR="00875DDE">
        <w:rPr>
          <w:szCs w:val="20"/>
        </w:rPr>
        <w:t xml:space="preserve">total </w:t>
      </w:r>
      <w:r w:rsidR="00474F92">
        <w:rPr>
          <w:szCs w:val="20"/>
        </w:rPr>
        <w:t>experience. Understanding</w:t>
      </w:r>
      <w:r>
        <w:rPr>
          <w:szCs w:val="20"/>
        </w:rPr>
        <w:t xml:space="preserve"> the </w:t>
      </w:r>
      <w:r w:rsidR="00CC2D23">
        <w:rPr>
          <w:szCs w:val="20"/>
        </w:rPr>
        <w:t>whole</w:t>
      </w:r>
      <w:r>
        <w:rPr>
          <w:szCs w:val="20"/>
        </w:rPr>
        <w:t xml:space="preserve"> system helps create a plan for compliance that causes as little disruption as possible to individuals, their families, and the various providers who work to support individuals with IDD.</w:t>
      </w:r>
    </w:p>
    <w:p w14:paraId="29453D3E" w14:textId="65B00F50" w:rsidR="0074336B" w:rsidRDefault="0074336B" w:rsidP="0074336B">
      <w:pPr>
        <w:rPr>
          <w:szCs w:val="20"/>
        </w:rPr>
      </w:pPr>
      <w:r>
        <w:rPr>
          <w:szCs w:val="20"/>
        </w:rPr>
        <w:t xml:space="preserve">PCG and KDADS want to reassure all stakeholders that we </w:t>
      </w:r>
      <w:r>
        <w:rPr>
          <w:b/>
          <w:bCs/>
          <w:szCs w:val="20"/>
        </w:rPr>
        <w:t xml:space="preserve">do not </w:t>
      </w:r>
      <w:r>
        <w:rPr>
          <w:szCs w:val="20"/>
        </w:rPr>
        <w:t>have a defined plan to update and improve the system to meet the standards and requirements that are in place today. PCG and KDADS</w:t>
      </w:r>
      <w:r w:rsidR="004D3D3B">
        <w:rPr>
          <w:szCs w:val="20"/>
        </w:rPr>
        <w:t xml:space="preserve"> </w:t>
      </w:r>
      <w:r>
        <w:rPr>
          <w:szCs w:val="20"/>
        </w:rPr>
        <w:t xml:space="preserve">are still gathering relevant data to formulate suggestions for KDADS to evaluate when deciding how to resolve the conflict. There is no clear solution for conflict resolution at this stage of the process. As recommendations are formed, PCG and KDADS will engage with all stakeholders for feedback before a final plan is decided. </w:t>
      </w:r>
    </w:p>
    <w:p w14:paraId="604B3310" w14:textId="74419D19" w:rsidR="0074336B" w:rsidRDefault="0074336B" w:rsidP="0074336B">
      <w:pPr>
        <w:rPr>
          <w:szCs w:val="20"/>
        </w:rPr>
      </w:pPr>
      <w:r>
        <w:rPr>
          <w:szCs w:val="20"/>
        </w:rPr>
        <w:t>KDADS is committed to providing quality services and outcomes for the people we serve</w:t>
      </w:r>
      <w:r w:rsidR="002254DA">
        <w:rPr>
          <w:szCs w:val="20"/>
        </w:rPr>
        <w:t>.</w:t>
      </w:r>
    </w:p>
    <w:p w14:paraId="21247C62" w14:textId="77777777" w:rsidR="00361A4F" w:rsidRPr="00361A4F" w:rsidRDefault="00361A4F" w:rsidP="00361A4F"/>
    <w:sectPr w:rsidR="00361A4F" w:rsidRPr="00361A4F" w:rsidSect="00D54522">
      <w:headerReference w:type="default" r:id="rId14"/>
      <w:footerReference w:type="default" r:id="rId15"/>
      <w:headerReference w:type="first" r:id="rId16"/>
      <w:footerReference w:type="first" r:id="rId17"/>
      <w:pgSz w:w="12240" w:h="15840"/>
      <w:pgMar w:top="259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8DD3" w14:textId="77777777" w:rsidR="004441F3" w:rsidRDefault="004441F3" w:rsidP="004D4A90">
      <w:pPr>
        <w:spacing w:after="0" w:line="240" w:lineRule="auto"/>
      </w:pPr>
      <w:r>
        <w:separator/>
      </w:r>
    </w:p>
  </w:endnote>
  <w:endnote w:type="continuationSeparator" w:id="0">
    <w:p w14:paraId="63081540" w14:textId="77777777" w:rsidR="004441F3" w:rsidRDefault="004441F3" w:rsidP="004D4A90">
      <w:pPr>
        <w:spacing w:after="0" w:line="240" w:lineRule="auto"/>
      </w:pPr>
      <w:r>
        <w:continuationSeparator/>
      </w:r>
    </w:p>
  </w:endnote>
  <w:endnote w:type="continuationNotice" w:id="1">
    <w:p w14:paraId="2B77C6C9" w14:textId="77777777" w:rsidR="004441F3" w:rsidRDefault="00444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A089" w14:textId="77777777" w:rsidR="002B21F5" w:rsidRPr="00361A4F" w:rsidRDefault="002B21F5" w:rsidP="002B21F5">
    <w:pPr>
      <w:pStyle w:val="Header"/>
      <w:ind w:left="-720" w:right="-720"/>
      <w:jc w:val="center"/>
      <w:rPr>
        <w:rFonts w:ascii="Arial" w:hAnsi="Arial" w:cs="Arial"/>
        <w:color w:val="002060"/>
        <w:spacing w:val="4"/>
        <w:sz w:val="18"/>
        <w:szCs w:val="21"/>
      </w:rPr>
    </w:pPr>
    <w:r w:rsidRPr="00361A4F">
      <w:rPr>
        <w:rFonts w:ascii="Arial" w:hAnsi="Arial" w:cs="Arial"/>
        <w:color w:val="002060"/>
        <w:spacing w:val="4"/>
        <w:sz w:val="18"/>
        <w:szCs w:val="21"/>
      </w:rPr>
      <w:t>148 State Street, 10</w:t>
    </w:r>
    <w:r w:rsidRPr="00361A4F">
      <w:rPr>
        <w:rFonts w:ascii="Arial" w:hAnsi="Arial" w:cs="Arial"/>
        <w:color w:val="002060"/>
        <w:spacing w:val="4"/>
        <w:sz w:val="18"/>
        <w:szCs w:val="21"/>
        <w:vertAlign w:val="superscript"/>
      </w:rPr>
      <w:t>th</w:t>
    </w:r>
    <w:r w:rsidRPr="00361A4F">
      <w:rPr>
        <w:rFonts w:ascii="Arial" w:hAnsi="Arial" w:cs="Arial"/>
        <w:color w:val="002060"/>
        <w:spacing w:val="4"/>
        <w:sz w:val="18"/>
        <w:szCs w:val="21"/>
      </w:rPr>
      <w:t xml:space="preserve"> Floor, Boston, Massachusetts 02109 | (617) 426-2026 | www.publicconsultinggroup.com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5A4B" w14:textId="77777777" w:rsidR="002B21F5" w:rsidRPr="00361A4F" w:rsidRDefault="002B21F5" w:rsidP="002B21F5">
    <w:pPr>
      <w:pStyle w:val="Header"/>
      <w:ind w:left="-720" w:right="-720"/>
      <w:jc w:val="center"/>
      <w:rPr>
        <w:rFonts w:ascii="Arial" w:hAnsi="Arial" w:cs="Arial"/>
        <w:color w:val="002060"/>
        <w:spacing w:val="4"/>
        <w:sz w:val="18"/>
        <w:szCs w:val="21"/>
      </w:rPr>
    </w:pPr>
    <w:r w:rsidRPr="00361A4F">
      <w:rPr>
        <w:rFonts w:ascii="Arial" w:hAnsi="Arial" w:cs="Arial"/>
        <w:color w:val="002060"/>
        <w:spacing w:val="4"/>
        <w:sz w:val="18"/>
        <w:szCs w:val="21"/>
      </w:rPr>
      <w:t>148 State Street, 10</w:t>
    </w:r>
    <w:r w:rsidRPr="00361A4F">
      <w:rPr>
        <w:rFonts w:ascii="Arial" w:hAnsi="Arial" w:cs="Arial"/>
        <w:color w:val="002060"/>
        <w:spacing w:val="4"/>
        <w:sz w:val="18"/>
        <w:szCs w:val="21"/>
        <w:vertAlign w:val="superscript"/>
      </w:rPr>
      <w:t>th</w:t>
    </w:r>
    <w:r w:rsidRPr="00361A4F">
      <w:rPr>
        <w:rFonts w:ascii="Arial" w:hAnsi="Arial" w:cs="Arial"/>
        <w:color w:val="002060"/>
        <w:spacing w:val="4"/>
        <w:sz w:val="18"/>
        <w:szCs w:val="21"/>
      </w:rPr>
      <w:t xml:space="preserve"> Floor, Boston, Massachusetts 02109 | (617) 426-2026 | www.publicconsultinggroup.com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BB07" w14:textId="77777777" w:rsidR="004441F3" w:rsidRDefault="004441F3" w:rsidP="004D4A90">
      <w:pPr>
        <w:spacing w:after="0" w:line="240" w:lineRule="auto"/>
      </w:pPr>
      <w:r>
        <w:separator/>
      </w:r>
    </w:p>
  </w:footnote>
  <w:footnote w:type="continuationSeparator" w:id="0">
    <w:p w14:paraId="785B9387" w14:textId="77777777" w:rsidR="004441F3" w:rsidRDefault="004441F3" w:rsidP="004D4A90">
      <w:pPr>
        <w:spacing w:after="0" w:line="240" w:lineRule="auto"/>
      </w:pPr>
      <w:r>
        <w:continuationSeparator/>
      </w:r>
    </w:p>
  </w:footnote>
  <w:footnote w:type="continuationNotice" w:id="1">
    <w:p w14:paraId="2BDCADB5" w14:textId="77777777" w:rsidR="004441F3" w:rsidRDefault="004441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41CC" w14:textId="1A50487C" w:rsidR="000B51DD" w:rsidRPr="002B21F5" w:rsidRDefault="002B21F5" w:rsidP="002B21F5">
    <w:pPr>
      <w:pStyle w:val="Header"/>
      <w:jc w:val="right"/>
    </w:pPr>
    <w:r>
      <w:rPr>
        <w:rFonts w:ascii="Arial" w:eastAsia="Times New Roman" w:hAnsi="Arial" w:cs="Arial"/>
      </w:rPr>
      <w:t xml:space="preserve">Recipient’s Name </w:t>
    </w:r>
    <w:r>
      <w:rPr>
        <w:rFonts w:ascii="Arial" w:eastAsia="Times New Roman" w:hAnsi="Arial" w:cs="Arial"/>
      </w:rPr>
      <w:br/>
      <w:t xml:space="preserve">Date </w:t>
    </w:r>
    <w:r>
      <w:rPr>
        <w:rFonts w:ascii="Arial" w:eastAsia="Times New Roman" w:hAnsi="Arial" w:cs="Arial"/>
      </w:rPr>
      <w:br/>
      <w:t xml:space="preserve">Page </w:t>
    </w:r>
    <w:r>
      <w:rPr>
        <w:rFonts w:ascii="Arial" w:eastAsia="Times New Roman" w:hAnsi="Arial" w:cs="Arial"/>
      </w:rPr>
      <w:fldChar w:fldCharType="begin"/>
    </w:r>
    <w:r>
      <w:rPr>
        <w:rFonts w:ascii="Arial" w:eastAsia="Times New Roman" w:hAnsi="Arial" w:cs="Arial"/>
      </w:rPr>
      <w:instrText xml:space="preserve"> PAGE   \* MERGEFORMAT </w:instrText>
    </w:r>
    <w:r>
      <w:rPr>
        <w:rFonts w:ascii="Arial" w:eastAsia="Times New Roman" w:hAnsi="Arial" w:cs="Arial"/>
      </w:rPr>
      <w:fldChar w:fldCharType="separate"/>
    </w:r>
    <w:r>
      <w:rPr>
        <w:rFonts w:ascii="Arial" w:eastAsia="Times New Roman" w:hAnsi="Arial" w:cs="Arial"/>
      </w:rPr>
      <w:t>2</w:t>
    </w:r>
    <w:r>
      <w:rPr>
        <w:rFonts w:ascii="Arial" w:eastAsia="Times New Roman"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C58" w14:textId="3C5B31FF" w:rsidR="002B21F5" w:rsidRDefault="00621182">
    <w:pPr>
      <w:pStyle w:val="Header"/>
    </w:pPr>
    <w:r>
      <w:rPr>
        <w:noProof/>
      </w:rPr>
      <w:drawing>
        <wp:anchor distT="0" distB="0" distL="114300" distR="114300" simplePos="0" relativeHeight="251658240" behindDoc="0" locked="0" layoutInCell="1" allowOverlap="1" wp14:anchorId="08C2EBB9" wp14:editId="167443BD">
          <wp:simplePos x="0" y="0"/>
          <wp:positionH relativeFrom="column">
            <wp:posOffset>4152900</wp:posOffset>
          </wp:positionH>
          <wp:positionV relativeFrom="paragraph">
            <wp:posOffset>246380</wp:posOffset>
          </wp:positionV>
          <wp:extent cx="1785620" cy="507365"/>
          <wp:effectExtent l="0" t="0" r="5080" b="6985"/>
          <wp:wrapNone/>
          <wp:docPr id="98587619" name="Picture 1"/>
          <wp:cNvGraphicFramePr/>
          <a:graphic xmlns:a="http://schemas.openxmlformats.org/drawingml/2006/main">
            <a:graphicData uri="http://schemas.openxmlformats.org/drawingml/2006/picture">
              <pic:pic xmlns:pic="http://schemas.openxmlformats.org/drawingml/2006/picture">
                <pic:nvPicPr>
                  <pic:cNvPr id="98587619"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5620" cy="507365"/>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17987C8A" wp14:editId="05575738">
          <wp:simplePos x="0" y="0"/>
          <wp:positionH relativeFrom="column">
            <wp:posOffset>0</wp:posOffset>
          </wp:positionH>
          <wp:positionV relativeFrom="paragraph">
            <wp:posOffset>0</wp:posOffset>
          </wp:positionV>
          <wp:extent cx="1516380" cy="1013460"/>
          <wp:effectExtent l="0" t="0" r="7620" b="0"/>
          <wp:wrapNone/>
          <wp:docPr id="18372732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73213"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1013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20D6"/>
    <w:multiLevelType w:val="multilevel"/>
    <w:tmpl w:val="B218E94E"/>
    <w:lvl w:ilvl="0">
      <w:start w:val="1"/>
      <w:numFmt w:val="decimal"/>
      <w:pStyle w:val="PCG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492DF1"/>
    <w:multiLevelType w:val="hybridMultilevel"/>
    <w:tmpl w:val="422E593E"/>
    <w:lvl w:ilvl="0" w:tplc="8848C286">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D1508"/>
    <w:multiLevelType w:val="hybridMultilevel"/>
    <w:tmpl w:val="1B8E8E1C"/>
    <w:lvl w:ilvl="0" w:tplc="4828B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D0B58"/>
    <w:multiLevelType w:val="hybridMultilevel"/>
    <w:tmpl w:val="94EA77FC"/>
    <w:lvl w:ilvl="0" w:tplc="B7BAF1FA">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503238">
    <w:abstractNumId w:val="2"/>
  </w:num>
  <w:num w:numId="2" w16cid:durableId="403919058">
    <w:abstractNumId w:val="0"/>
  </w:num>
  <w:num w:numId="3" w16cid:durableId="759450430">
    <w:abstractNumId w:val="3"/>
  </w:num>
  <w:num w:numId="4" w16cid:durableId="521437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90"/>
    <w:rsid w:val="00025044"/>
    <w:rsid w:val="00041CB8"/>
    <w:rsid w:val="00083DEC"/>
    <w:rsid w:val="0009178D"/>
    <w:rsid w:val="000B023E"/>
    <w:rsid w:val="000B51DD"/>
    <w:rsid w:val="000C2291"/>
    <w:rsid w:val="000C31CF"/>
    <w:rsid w:val="000D6101"/>
    <w:rsid w:val="000E03DE"/>
    <w:rsid w:val="000F22B5"/>
    <w:rsid w:val="000F6E56"/>
    <w:rsid w:val="00122247"/>
    <w:rsid w:val="00181F7C"/>
    <w:rsid w:val="001B0F3C"/>
    <w:rsid w:val="001B0FDF"/>
    <w:rsid w:val="001C72AC"/>
    <w:rsid w:val="001E1FC6"/>
    <w:rsid w:val="001E3A56"/>
    <w:rsid w:val="0020644C"/>
    <w:rsid w:val="002254DA"/>
    <w:rsid w:val="00231F6C"/>
    <w:rsid w:val="00285CE5"/>
    <w:rsid w:val="0029434E"/>
    <w:rsid w:val="002962F7"/>
    <w:rsid w:val="002A496B"/>
    <w:rsid w:val="002A6793"/>
    <w:rsid w:val="002B21F5"/>
    <w:rsid w:val="002B2946"/>
    <w:rsid w:val="002D3269"/>
    <w:rsid w:val="002D4230"/>
    <w:rsid w:val="0030059D"/>
    <w:rsid w:val="003011E7"/>
    <w:rsid w:val="00302707"/>
    <w:rsid w:val="003034B8"/>
    <w:rsid w:val="00323F9D"/>
    <w:rsid w:val="00340666"/>
    <w:rsid w:val="003469E4"/>
    <w:rsid w:val="00361A4F"/>
    <w:rsid w:val="003843C1"/>
    <w:rsid w:val="003B0A65"/>
    <w:rsid w:val="003B419C"/>
    <w:rsid w:val="003D2F13"/>
    <w:rsid w:val="00407CC9"/>
    <w:rsid w:val="00417CFC"/>
    <w:rsid w:val="004441F3"/>
    <w:rsid w:val="00447271"/>
    <w:rsid w:val="00451658"/>
    <w:rsid w:val="0046618D"/>
    <w:rsid w:val="00474F92"/>
    <w:rsid w:val="004C0BDD"/>
    <w:rsid w:val="004D3D3B"/>
    <w:rsid w:val="004D4A90"/>
    <w:rsid w:val="004E0E1F"/>
    <w:rsid w:val="004E1600"/>
    <w:rsid w:val="004E369A"/>
    <w:rsid w:val="004E45A9"/>
    <w:rsid w:val="00505251"/>
    <w:rsid w:val="0053349B"/>
    <w:rsid w:val="00565236"/>
    <w:rsid w:val="005759C8"/>
    <w:rsid w:val="00576F49"/>
    <w:rsid w:val="005778A0"/>
    <w:rsid w:val="00583DA3"/>
    <w:rsid w:val="005B6E50"/>
    <w:rsid w:val="005C4950"/>
    <w:rsid w:val="005C4D65"/>
    <w:rsid w:val="005C6CD1"/>
    <w:rsid w:val="00621182"/>
    <w:rsid w:val="0065575C"/>
    <w:rsid w:val="00655CE1"/>
    <w:rsid w:val="00672124"/>
    <w:rsid w:val="006938BF"/>
    <w:rsid w:val="00697A50"/>
    <w:rsid w:val="006B0889"/>
    <w:rsid w:val="006B4D7F"/>
    <w:rsid w:val="00704EFD"/>
    <w:rsid w:val="00706B6A"/>
    <w:rsid w:val="007232A5"/>
    <w:rsid w:val="00724AEF"/>
    <w:rsid w:val="0073493B"/>
    <w:rsid w:val="00736DAF"/>
    <w:rsid w:val="0074336B"/>
    <w:rsid w:val="00744D5E"/>
    <w:rsid w:val="007730A2"/>
    <w:rsid w:val="0077410E"/>
    <w:rsid w:val="0077526F"/>
    <w:rsid w:val="00796282"/>
    <w:rsid w:val="007C1661"/>
    <w:rsid w:val="00810251"/>
    <w:rsid w:val="00815338"/>
    <w:rsid w:val="00827A0A"/>
    <w:rsid w:val="00841F7E"/>
    <w:rsid w:val="00847C6C"/>
    <w:rsid w:val="00873EB6"/>
    <w:rsid w:val="0087590E"/>
    <w:rsid w:val="00875DDE"/>
    <w:rsid w:val="008B1D7C"/>
    <w:rsid w:val="009038D3"/>
    <w:rsid w:val="00943AB5"/>
    <w:rsid w:val="00947C65"/>
    <w:rsid w:val="009748F9"/>
    <w:rsid w:val="0098657C"/>
    <w:rsid w:val="00986667"/>
    <w:rsid w:val="009B5B12"/>
    <w:rsid w:val="009B70EC"/>
    <w:rsid w:val="009F3C12"/>
    <w:rsid w:val="009F3E93"/>
    <w:rsid w:val="00A81C7A"/>
    <w:rsid w:val="00A827EA"/>
    <w:rsid w:val="00AF69DF"/>
    <w:rsid w:val="00B01242"/>
    <w:rsid w:val="00B25273"/>
    <w:rsid w:val="00B56BC1"/>
    <w:rsid w:val="00B9335C"/>
    <w:rsid w:val="00BA23CC"/>
    <w:rsid w:val="00BB3E05"/>
    <w:rsid w:val="00BB4BC6"/>
    <w:rsid w:val="00BC0371"/>
    <w:rsid w:val="00BC750D"/>
    <w:rsid w:val="00BD3231"/>
    <w:rsid w:val="00BE57CF"/>
    <w:rsid w:val="00BF38C0"/>
    <w:rsid w:val="00C165FA"/>
    <w:rsid w:val="00C23F3D"/>
    <w:rsid w:val="00C35C86"/>
    <w:rsid w:val="00C61BBB"/>
    <w:rsid w:val="00C81A7F"/>
    <w:rsid w:val="00C951C1"/>
    <w:rsid w:val="00CA0A06"/>
    <w:rsid w:val="00CC2D23"/>
    <w:rsid w:val="00CE2312"/>
    <w:rsid w:val="00D30AE9"/>
    <w:rsid w:val="00D35332"/>
    <w:rsid w:val="00D5138F"/>
    <w:rsid w:val="00D54522"/>
    <w:rsid w:val="00D571B0"/>
    <w:rsid w:val="00DA16E2"/>
    <w:rsid w:val="00DA201B"/>
    <w:rsid w:val="00E13468"/>
    <w:rsid w:val="00E5496E"/>
    <w:rsid w:val="00E73A87"/>
    <w:rsid w:val="00EA138D"/>
    <w:rsid w:val="00EB704D"/>
    <w:rsid w:val="00F23708"/>
    <w:rsid w:val="00F615E2"/>
    <w:rsid w:val="00F7793E"/>
    <w:rsid w:val="00F8193E"/>
    <w:rsid w:val="00FA3D36"/>
    <w:rsid w:val="00FA5F18"/>
    <w:rsid w:val="00FC72D7"/>
    <w:rsid w:val="00FD748B"/>
    <w:rsid w:val="00FE0096"/>
    <w:rsid w:val="01BEE7AD"/>
    <w:rsid w:val="071E897E"/>
    <w:rsid w:val="12CFA0FA"/>
    <w:rsid w:val="14E7E582"/>
    <w:rsid w:val="158A5673"/>
    <w:rsid w:val="15E746CF"/>
    <w:rsid w:val="1A1CF9E8"/>
    <w:rsid w:val="1E1767BA"/>
    <w:rsid w:val="1FA29871"/>
    <w:rsid w:val="26C56B11"/>
    <w:rsid w:val="337D2E61"/>
    <w:rsid w:val="4B0DEFC7"/>
    <w:rsid w:val="4DF0B74E"/>
    <w:rsid w:val="60080A8E"/>
    <w:rsid w:val="64C25354"/>
    <w:rsid w:val="665E23B5"/>
    <w:rsid w:val="68787E3D"/>
    <w:rsid w:val="694D572A"/>
    <w:rsid w:val="6CA5B591"/>
    <w:rsid w:val="6EE7ABD3"/>
    <w:rsid w:val="7E87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D7E76"/>
  <w15:chartTrackingRefBased/>
  <w15:docId w15:val="{BABEFBB3-CF8A-41C0-B6DF-63C5923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4F"/>
    <w:rPr>
      <w:sz w:val="20"/>
    </w:rPr>
  </w:style>
  <w:style w:type="paragraph" w:styleId="Heading1">
    <w:name w:val="heading 1"/>
    <w:basedOn w:val="Normal"/>
    <w:next w:val="Normal"/>
    <w:link w:val="Heading1Char"/>
    <w:uiPriority w:val="9"/>
    <w:qFormat/>
    <w:rsid w:val="004C0BDD"/>
    <w:pPr>
      <w:keepNext/>
      <w:keepLines/>
      <w:spacing w:before="240" w:after="0"/>
      <w:outlineLvl w:val="0"/>
    </w:pPr>
    <w:rPr>
      <w:rFonts w:asciiTheme="majorHAnsi" w:eastAsiaTheme="majorEastAsia" w:hAnsiTheme="majorHAnsi" w:cstheme="majorBidi"/>
      <w:color w:val="082859" w:themeColor="accent1" w:themeShade="BF"/>
      <w:sz w:val="32"/>
      <w:szCs w:val="32"/>
    </w:rPr>
  </w:style>
  <w:style w:type="paragraph" w:styleId="Heading2">
    <w:name w:val="heading 2"/>
    <w:basedOn w:val="Normal"/>
    <w:next w:val="Normal"/>
    <w:link w:val="Heading2Char"/>
    <w:uiPriority w:val="9"/>
    <w:unhideWhenUsed/>
    <w:qFormat/>
    <w:rsid w:val="002B21F5"/>
    <w:pPr>
      <w:keepNext/>
      <w:keepLines/>
      <w:spacing w:before="40" w:after="0"/>
      <w:outlineLvl w:val="1"/>
    </w:pPr>
    <w:rPr>
      <w:rFonts w:asciiTheme="majorHAnsi" w:eastAsiaTheme="majorEastAsia" w:hAnsiTheme="majorHAnsi" w:cstheme="majorBidi"/>
      <w:color w:val="08285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GParagraphtext">
    <w:name w:val="PCG Paragraph text"/>
    <w:basedOn w:val="TOCHeading"/>
    <w:link w:val="PCGParagraphtextChar"/>
    <w:qFormat/>
    <w:rsid w:val="004C0BDD"/>
    <w:pPr>
      <w:spacing w:before="400" w:after="40" w:line="240" w:lineRule="auto"/>
    </w:pPr>
    <w:rPr>
      <w:rFonts w:ascii="Arial" w:eastAsia="SimSun" w:hAnsi="Arial" w:cs="Arial"/>
      <w:color w:val="3B3B3B" w:themeColor="text1"/>
      <w:sz w:val="36"/>
      <w:szCs w:val="24"/>
      <w14:textFill>
        <w14:solidFill>
          <w14:schemeClr w14:val="tx1">
            <w14:lumMod w14:val="65000"/>
            <w14:lumOff w14:val="35000"/>
            <w14:lumMod w14:val="65000"/>
            <w14:lumOff w14:val="35000"/>
          </w14:schemeClr>
        </w14:solidFill>
      </w14:textFill>
    </w:rPr>
  </w:style>
  <w:style w:type="character" w:customStyle="1" w:styleId="PCGParagraphtextChar">
    <w:name w:val="PCG Paragraph text Char"/>
    <w:basedOn w:val="DefaultParagraphFont"/>
    <w:link w:val="PCGParagraphtext"/>
    <w:rsid w:val="004C0BDD"/>
    <w:rPr>
      <w:rFonts w:ascii="Arial" w:eastAsia="SimSun" w:hAnsi="Arial" w:cs="Arial"/>
      <w:color w:val="3B3B3B" w:themeColor="text1"/>
      <w:sz w:val="36"/>
      <w:szCs w:val="24"/>
      <w14:textFill>
        <w14:solidFill>
          <w14:schemeClr w14:val="tx1">
            <w14:lumMod w14:val="65000"/>
            <w14:lumOff w14:val="35000"/>
            <w14:lumMod w14:val="65000"/>
            <w14:lumOff w14:val="35000"/>
          </w14:schemeClr>
        </w14:solidFill>
      </w14:textFill>
    </w:rPr>
  </w:style>
  <w:style w:type="character" w:customStyle="1" w:styleId="Heading1Char">
    <w:name w:val="Heading 1 Char"/>
    <w:basedOn w:val="DefaultParagraphFont"/>
    <w:link w:val="Heading1"/>
    <w:uiPriority w:val="9"/>
    <w:rsid w:val="004C0BDD"/>
    <w:rPr>
      <w:rFonts w:asciiTheme="majorHAnsi" w:eastAsiaTheme="majorEastAsia" w:hAnsiTheme="majorHAnsi" w:cstheme="majorBidi"/>
      <w:color w:val="082859" w:themeColor="accent1" w:themeShade="BF"/>
      <w:sz w:val="32"/>
      <w:szCs w:val="32"/>
    </w:rPr>
  </w:style>
  <w:style w:type="paragraph" w:styleId="TOCHeading">
    <w:name w:val="TOC Heading"/>
    <w:basedOn w:val="Heading1"/>
    <w:next w:val="Normal"/>
    <w:uiPriority w:val="39"/>
    <w:semiHidden/>
    <w:unhideWhenUsed/>
    <w:qFormat/>
    <w:rsid w:val="004C0BDD"/>
    <w:pPr>
      <w:outlineLvl w:val="9"/>
    </w:pPr>
  </w:style>
  <w:style w:type="paragraph" w:customStyle="1" w:styleId="PCGHeader">
    <w:name w:val="PCG Header"/>
    <w:basedOn w:val="TOCHeading"/>
    <w:link w:val="PCGHeaderChar"/>
    <w:qFormat/>
    <w:rsid w:val="004C0BDD"/>
    <w:pPr>
      <w:spacing w:before="400" w:after="40" w:line="240" w:lineRule="auto"/>
    </w:pPr>
    <w:rPr>
      <w:rFonts w:ascii="Arial" w:eastAsia="SimSun" w:hAnsi="Arial" w:cs="Arial"/>
      <w:b/>
      <w:color w:val="21366E"/>
      <w:szCs w:val="24"/>
    </w:rPr>
  </w:style>
  <w:style w:type="character" w:customStyle="1" w:styleId="PCGHeaderChar">
    <w:name w:val="PCG Header Char"/>
    <w:basedOn w:val="DefaultParagraphFont"/>
    <w:link w:val="PCGHeader"/>
    <w:rsid w:val="004C0BDD"/>
    <w:rPr>
      <w:rFonts w:ascii="Arial" w:eastAsia="SimSun" w:hAnsi="Arial" w:cs="Arial"/>
      <w:b/>
      <w:color w:val="21366E"/>
      <w:sz w:val="32"/>
      <w:szCs w:val="24"/>
    </w:rPr>
  </w:style>
  <w:style w:type="paragraph" w:customStyle="1" w:styleId="PCGBulletedlist">
    <w:name w:val="PCG Bulleted list"/>
    <w:basedOn w:val="TOCHeading"/>
    <w:link w:val="PCGBulletedlistChar"/>
    <w:qFormat/>
    <w:rsid w:val="004C0BDD"/>
    <w:pPr>
      <w:numPr>
        <w:numId w:val="2"/>
      </w:numPr>
      <w:spacing w:before="0" w:line="240" w:lineRule="auto"/>
      <w:ind w:hanging="360"/>
    </w:pPr>
    <w:rPr>
      <w:rFonts w:ascii="Arial" w:eastAsia="SimSun" w:hAnsi="Arial" w:cs="Arial"/>
      <w:color w:val="7F7F7F" w:themeColor="text1" w:themeTint="A6"/>
      <w:sz w:val="36"/>
      <w:szCs w:val="24"/>
    </w:rPr>
  </w:style>
  <w:style w:type="character" w:customStyle="1" w:styleId="PCGBulletedlistChar">
    <w:name w:val="PCG Bulleted list Char"/>
    <w:basedOn w:val="DefaultParagraphFont"/>
    <w:link w:val="PCGBulletedlist"/>
    <w:rsid w:val="004C0BDD"/>
    <w:rPr>
      <w:rFonts w:ascii="Arial" w:eastAsia="SimSun" w:hAnsi="Arial" w:cs="Arial"/>
      <w:color w:val="7F7F7F" w:themeColor="text1" w:themeTint="A6"/>
      <w:sz w:val="36"/>
      <w:szCs w:val="24"/>
    </w:rPr>
  </w:style>
  <w:style w:type="paragraph" w:customStyle="1" w:styleId="NEWPCGParagraphtext">
    <w:name w:val="NEW PCG Paragraph text"/>
    <w:basedOn w:val="PCGHeader"/>
    <w:link w:val="NEWPCGParagraphtextChar"/>
    <w:qFormat/>
    <w:rsid w:val="004C0BDD"/>
    <w:pPr>
      <w:spacing w:before="120"/>
    </w:pPr>
    <w:rPr>
      <w:b w:val="0"/>
      <w:color w:val="7F7F7F" w:themeColor="text1" w:themeTint="A6"/>
      <w:szCs w:val="21"/>
      <w:shd w:val="clear" w:color="auto" w:fill="FFFFFF"/>
    </w:rPr>
  </w:style>
  <w:style w:type="character" w:customStyle="1" w:styleId="NEWPCGParagraphtextChar">
    <w:name w:val="NEW PCG Paragraph text Char"/>
    <w:basedOn w:val="PCGHeaderChar"/>
    <w:link w:val="NEWPCGParagraphtext"/>
    <w:rsid w:val="004C0BDD"/>
    <w:rPr>
      <w:rFonts w:ascii="Arial" w:eastAsia="SimSun" w:hAnsi="Arial" w:cs="Arial"/>
      <w:b w:val="0"/>
      <w:color w:val="7F7F7F" w:themeColor="text1" w:themeTint="A6"/>
      <w:sz w:val="32"/>
      <w:szCs w:val="21"/>
    </w:rPr>
  </w:style>
  <w:style w:type="paragraph" w:customStyle="1" w:styleId="PCGQuote">
    <w:name w:val="PCG Quote"/>
    <w:basedOn w:val="TOCHeading"/>
    <w:link w:val="PCGQuoteChar"/>
    <w:qFormat/>
    <w:rsid w:val="004C0BDD"/>
    <w:pPr>
      <w:spacing w:before="400" w:after="40" w:line="240" w:lineRule="auto"/>
    </w:pPr>
    <w:rPr>
      <w:rFonts w:ascii="Arial" w:eastAsia="SimSun" w:hAnsi="Arial" w:cs="Arial"/>
      <w:color w:val="A6A6A6" w:themeColor="background1" w:themeShade="A6"/>
      <w:sz w:val="28"/>
      <w:szCs w:val="24"/>
    </w:rPr>
  </w:style>
  <w:style w:type="character" w:customStyle="1" w:styleId="PCGQuoteChar">
    <w:name w:val="PCG Quote Char"/>
    <w:basedOn w:val="DefaultParagraphFont"/>
    <w:link w:val="PCGQuote"/>
    <w:rsid w:val="004C0BDD"/>
    <w:rPr>
      <w:rFonts w:ascii="Arial" w:eastAsia="SimSun" w:hAnsi="Arial" w:cs="Arial"/>
      <w:color w:val="A6A6A6" w:themeColor="background1" w:themeShade="A6"/>
      <w:sz w:val="28"/>
      <w:szCs w:val="24"/>
    </w:rPr>
  </w:style>
  <w:style w:type="paragraph" w:customStyle="1" w:styleId="PCGSubHead">
    <w:name w:val="PCG Sub Head"/>
    <w:basedOn w:val="TOCHeading"/>
    <w:link w:val="PCGSubHeadChar"/>
    <w:qFormat/>
    <w:rsid w:val="004C0BDD"/>
    <w:pPr>
      <w:spacing w:before="400" w:after="40" w:line="240" w:lineRule="auto"/>
    </w:pPr>
    <w:rPr>
      <w:rFonts w:ascii="Arial" w:eastAsia="SimSun" w:hAnsi="Arial" w:cs="Arial"/>
      <w:b/>
      <w:color w:val="0095DA"/>
      <w:sz w:val="24"/>
      <w:szCs w:val="24"/>
    </w:rPr>
  </w:style>
  <w:style w:type="character" w:customStyle="1" w:styleId="PCGSubHeadChar">
    <w:name w:val="PCG Sub Head Char"/>
    <w:basedOn w:val="DefaultParagraphFont"/>
    <w:link w:val="PCGSubHead"/>
    <w:rsid w:val="004C0BDD"/>
    <w:rPr>
      <w:rFonts w:ascii="Arial" w:eastAsia="SimSun" w:hAnsi="Arial" w:cs="Arial"/>
      <w:b/>
      <w:color w:val="0095DA"/>
      <w:sz w:val="24"/>
      <w:szCs w:val="24"/>
    </w:rPr>
  </w:style>
  <w:style w:type="paragraph" w:customStyle="1" w:styleId="PCGTertiaryHeader">
    <w:name w:val="PCG Tertiary Header"/>
    <w:basedOn w:val="TOCHeading"/>
    <w:link w:val="PCGTertiaryHeaderChar"/>
    <w:qFormat/>
    <w:rsid w:val="004C0BDD"/>
    <w:pPr>
      <w:spacing w:before="400" w:after="40" w:line="240" w:lineRule="auto"/>
    </w:pPr>
    <w:rPr>
      <w:rFonts w:ascii="Arial" w:eastAsia="SimSun" w:hAnsi="Arial" w:cs="Arial"/>
      <w:b/>
      <w:color w:val="7F7F7F" w:themeColor="text1" w:themeTint="A6"/>
      <w:sz w:val="22"/>
      <w:szCs w:val="24"/>
    </w:rPr>
  </w:style>
  <w:style w:type="character" w:customStyle="1" w:styleId="PCGTertiaryHeaderChar">
    <w:name w:val="PCG Tertiary Header Char"/>
    <w:basedOn w:val="DefaultParagraphFont"/>
    <w:link w:val="PCGTertiaryHeader"/>
    <w:rsid w:val="004C0BDD"/>
    <w:rPr>
      <w:rFonts w:ascii="Arial" w:eastAsia="SimSun" w:hAnsi="Arial" w:cs="Arial"/>
      <w:b/>
      <w:color w:val="7F7F7F" w:themeColor="text1" w:themeTint="A6"/>
      <w:szCs w:val="24"/>
    </w:rPr>
  </w:style>
  <w:style w:type="paragraph" w:customStyle="1" w:styleId="PCGCallout">
    <w:name w:val="PCG Callout"/>
    <w:basedOn w:val="Normal"/>
    <w:link w:val="PCGCalloutChar"/>
    <w:qFormat/>
    <w:rsid w:val="004C0BDD"/>
    <w:rPr>
      <w:rFonts w:ascii="Arial" w:hAnsi="Arial" w:cs="Arial"/>
      <w:color w:val="21366E"/>
      <w:sz w:val="32"/>
      <w:szCs w:val="24"/>
    </w:rPr>
  </w:style>
  <w:style w:type="character" w:customStyle="1" w:styleId="PCGCalloutChar">
    <w:name w:val="PCG Callout Char"/>
    <w:basedOn w:val="DefaultParagraphFont"/>
    <w:link w:val="PCGCallout"/>
    <w:rsid w:val="004C0BDD"/>
    <w:rPr>
      <w:rFonts w:ascii="Arial" w:hAnsi="Arial" w:cs="Arial"/>
      <w:color w:val="21366E"/>
      <w:sz w:val="32"/>
      <w:szCs w:val="24"/>
    </w:rPr>
  </w:style>
  <w:style w:type="paragraph" w:styleId="Header">
    <w:name w:val="header"/>
    <w:basedOn w:val="Normal"/>
    <w:link w:val="HeaderChar"/>
    <w:uiPriority w:val="99"/>
    <w:unhideWhenUsed/>
    <w:rsid w:val="004D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90"/>
  </w:style>
  <w:style w:type="paragraph" w:styleId="Footer">
    <w:name w:val="footer"/>
    <w:basedOn w:val="Normal"/>
    <w:link w:val="FooterChar"/>
    <w:uiPriority w:val="99"/>
    <w:unhideWhenUsed/>
    <w:rsid w:val="004D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90"/>
  </w:style>
  <w:style w:type="paragraph" w:styleId="NormalWeb">
    <w:name w:val="Normal (Web)"/>
    <w:basedOn w:val="Normal"/>
    <w:uiPriority w:val="99"/>
    <w:unhideWhenUsed/>
    <w:rsid w:val="004D4A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7"/>
    <w:rPr>
      <w:rFonts w:ascii="Segoe UI" w:hAnsi="Segoe UI" w:cs="Segoe UI"/>
      <w:sz w:val="18"/>
      <w:szCs w:val="18"/>
    </w:rPr>
  </w:style>
  <w:style w:type="character" w:customStyle="1" w:styleId="Heading2Char">
    <w:name w:val="Heading 2 Char"/>
    <w:basedOn w:val="DefaultParagraphFont"/>
    <w:link w:val="Heading2"/>
    <w:uiPriority w:val="9"/>
    <w:rsid w:val="002B21F5"/>
    <w:rPr>
      <w:rFonts w:asciiTheme="majorHAnsi" w:eastAsiaTheme="majorEastAsia" w:hAnsiTheme="majorHAnsi" w:cstheme="majorBidi"/>
      <w:color w:val="082859" w:themeColor="accent1" w:themeShade="BF"/>
      <w:sz w:val="26"/>
      <w:szCs w:val="26"/>
    </w:rPr>
  </w:style>
  <w:style w:type="table" w:styleId="TableGrid">
    <w:name w:val="Table Grid"/>
    <w:basedOn w:val="TableNormal"/>
    <w:uiPriority w:val="39"/>
    <w:rsid w:val="006B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71"/>
    <w:pPr>
      <w:ind w:left="720"/>
      <w:contextualSpacing/>
    </w:pPr>
  </w:style>
  <w:style w:type="character" w:styleId="Hyperlink">
    <w:name w:val="Hyperlink"/>
    <w:basedOn w:val="DefaultParagraphFont"/>
    <w:uiPriority w:val="99"/>
    <w:unhideWhenUsed/>
    <w:rsid w:val="007232A5"/>
    <w:rPr>
      <w:color w:val="0563C1"/>
      <w:u w:val="single"/>
    </w:rPr>
  </w:style>
  <w:style w:type="character" w:styleId="FollowedHyperlink">
    <w:name w:val="FollowedHyperlink"/>
    <w:basedOn w:val="DefaultParagraphFont"/>
    <w:uiPriority w:val="99"/>
    <w:semiHidden/>
    <w:unhideWhenUsed/>
    <w:rsid w:val="007232A5"/>
    <w:rPr>
      <w:color w:val="5A6E8C" w:themeColor="followedHyperlink"/>
      <w:u w:val="single"/>
    </w:rPr>
  </w:style>
  <w:style w:type="paragraph" w:styleId="Revision">
    <w:name w:val="Revision"/>
    <w:hidden/>
    <w:uiPriority w:val="99"/>
    <w:semiHidden/>
    <w:rsid w:val="00986667"/>
    <w:pPr>
      <w:spacing w:after="0" w:line="240" w:lineRule="auto"/>
    </w:pPr>
    <w:rPr>
      <w:sz w:val="20"/>
    </w:rPr>
  </w:style>
  <w:style w:type="character" w:styleId="UnresolvedMention">
    <w:name w:val="Unresolved Mention"/>
    <w:basedOn w:val="DefaultParagraphFont"/>
    <w:uiPriority w:val="99"/>
    <w:semiHidden/>
    <w:unhideWhenUsed/>
    <w:rsid w:val="00C3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71104">
      <w:bodyDiv w:val="1"/>
      <w:marLeft w:val="0"/>
      <w:marRight w:val="0"/>
      <w:marTop w:val="0"/>
      <w:marBottom w:val="0"/>
      <w:divBdr>
        <w:top w:val="none" w:sz="0" w:space="0" w:color="auto"/>
        <w:left w:val="none" w:sz="0" w:space="0" w:color="auto"/>
        <w:bottom w:val="none" w:sz="0" w:space="0" w:color="auto"/>
        <w:right w:val="none" w:sz="0" w:space="0" w:color="auto"/>
      </w:divBdr>
    </w:div>
    <w:div w:id="348721802">
      <w:bodyDiv w:val="1"/>
      <w:marLeft w:val="0"/>
      <w:marRight w:val="0"/>
      <w:marTop w:val="0"/>
      <w:marBottom w:val="0"/>
      <w:divBdr>
        <w:top w:val="none" w:sz="0" w:space="0" w:color="auto"/>
        <w:left w:val="none" w:sz="0" w:space="0" w:color="auto"/>
        <w:bottom w:val="none" w:sz="0" w:space="0" w:color="auto"/>
        <w:right w:val="none" w:sz="0" w:space="0" w:color="auto"/>
      </w:divBdr>
    </w:div>
    <w:div w:id="520238705">
      <w:bodyDiv w:val="1"/>
      <w:marLeft w:val="0"/>
      <w:marRight w:val="0"/>
      <w:marTop w:val="0"/>
      <w:marBottom w:val="0"/>
      <w:divBdr>
        <w:top w:val="none" w:sz="0" w:space="0" w:color="auto"/>
        <w:left w:val="none" w:sz="0" w:space="0" w:color="auto"/>
        <w:bottom w:val="none" w:sz="0" w:space="0" w:color="auto"/>
        <w:right w:val="none" w:sz="0" w:space="0" w:color="auto"/>
      </w:divBdr>
    </w:div>
    <w:div w:id="586420456">
      <w:bodyDiv w:val="1"/>
      <w:marLeft w:val="0"/>
      <w:marRight w:val="0"/>
      <w:marTop w:val="0"/>
      <w:marBottom w:val="0"/>
      <w:divBdr>
        <w:top w:val="none" w:sz="0" w:space="0" w:color="auto"/>
        <w:left w:val="none" w:sz="0" w:space="0" w:color="auto"/>
        <w:bottom w:val="none" w:sz="0" w:space="0" w:color="auto"/>
        <w:right w:val="none" w:sz="0" w:space="0" w:color="auto"/>
      </w:divBdr>
    </w:div>
    <w:div w:id="1069308642">
      <w:bodyDiv w:val="1"/>
      <w:marLeft w:val="0"/>
      <w:marRight w:val="0"/>
      <w:marTop w:val="0"/>
      <w:marBottom w:val="0"/>
      <w:divBdr>
        <w:top w:val="none" w:sz="0" w:space="0" w:color="auto"/>
        <w:left w:val="none" w:sz="0" w:space="0" w:color="auto"/>
        <w:bottom w:val="none" w:sz="0" w:space="0" w:color="auto"/>
        <w:right w:val="none" w:sz="0" w:space="0" w:color="auto"/>
      </w:divBdr>
    </w:div>
    <w:div w:id="1085883929">
      <w:bodyDiv w:val="1"/>
      <w:marLeft w:val="0"/>
      <w:marRight w:val="0"/>
      <w:marTop w:val="0"/>
      <w:marBottom w:val="0"/>
      <w:divBdr>
        <w:top w:val="none" w:sz="0" w:space="0" w:color="auto"/>
        <w:left w:val="none" w:sz="0" w:space="0" w:color="auto"/>
        <w:bottom w:val="none" w:sz="0" w:space="0" w:color="auto"/>
        <w:right w:val="none" w:sz="0" w:space="0" w:color="auto"/>
      </w:divBdr>
    </w:div>
    <w:div w:id="1086264213">
      <w:bodyDiv w:val="1"/>
      <w:marLeft w:val="0"/>
      <w:marRight w:val="0"/>
      <w:marTop w:val="0"/>
      <w:marBottom w:val="0"/>
      <w:divBdr>
        <w:top w:val="none" w:sz="0" w:space="0" w:color="auto"/>
        <w:left w:val="none" w:sz="0" w:space="0" w:color="auto"/>
        <w:bottom w:val="none" w:sz="0" w:space="0" w:color="auto"/>
        <w:right w:val="none" w:sz="0" w:space="0" w:color="auto"/>
      </w:divBdr>
    </w:div>
    <w:div w:id="1379430310">
      <w:bodyDiv w:val="1"/>
      <w:marLeft w:val="0"/>
      <w:marRight w:val="0"/>
      <w:marTop w:val="0"/>
      <w:marBottom w:val="0"/>
      <w:divBdr>
        <w:top w:val="none" w:sz="0" w:space="0" w:color="auto"/>
        <w:left w:val="none" w:sz="0" w:space="0" w:color="auto"/>
        <w:bottom w:val="none" w:sz="0" w:space="0" w:color="auto"/>
        <w:right w:val="none" w:sz="0" w:space="0" w:color="auto"/>
      </w:divBdr>
    </w:div>
    <w:div w:id="1401639972">
      <w:bodyDiv w:val="1"/>
      <w:marLeft w:val="0"/>
      <w:marRight w:val="0"/>
      <w:marTop w:val="0"/>
      <w:marBottom w:val="0"/>
      <w:divBdr>
        <w:top w:val="none" w:sz="0" w:space="0" w:color="auto"/>
        <w:left w:val="none" w:sz="0" w:space="0" w:color="auto"/>
        <w:bottom w:val="none" w:sz="0" w:space="0" w:color="auto"/>
        <w:right w:val="none" w:sz="0" w:space="0" w:color="auto"/>
      </w:divBdr>
    </w:div>
    <w:div w:id="1597052372">
      <w:bodyDiv w:val="1"/>
      <w:marLeft w:val="0"/>
      <w:marRight w:val="0"/>
      <w:marTop w:val="0"/>
      <w:marBottom w:val="0"/>
      <w:divBdr>
        <w:top w:val="none" w:sz="0" w:space="0" w:color="auto"/>
        <w:left w:val="none" w:sz="0" w:space="0" w:color="auto"/>
        <w:bottom w:val="none" w:sz="0" w:space="0" w:color="auto"/>
        <w:right w:val="none" w:sz="0" w:space="0" w:color="auto"/>
      </w:divBdr>
    </w:div>
    <w:div w:id="1671520950">
      <w:bodyDiv w:val="1"/>
      <w:marLeft w:val="0"/>
      <w:marRight w:val="0"/>
      <w:marTop w:val="0"/>
      <w:marBottom w:val="0"/>
      <w:divBdr>
        <w:top w:val="none" w:sz="0" w:space="0" w:color="auto"/>
        <w:left w:val="none" w:sz="0" w:space="0" w:color="auto"/>
        <w:bottom w:val="none" w:sz="0" w:space="0" w:color="auto"/>
        <w:right w:val="none" w:sz="0" w:space="0" w:color="auto"/>
      </w:divBdr>
    </w:div>
    <w:div w:id="1845974729">
      <w:bodyDiv w:val="1"/>
      <w:marLeft w:val="0"/>
      <w:marRight w:val="0"/>
      <w:marTop w:val="0"/>
      <w:marBottom w:val="0"/>
      <w:divBdr>
        <w:top w:val="none" w:sz="0" w:space="0" w:color="auto"/>
        <w:left w:val="none" w:sz="0" w:space="0" w:color="auto"/>
        <w:bottom w:val="none" w:sz="0" w:space="0" w:color="auto"/>
        <w:right w:val="none" w:sz="0" w:space="0" w:color="auto"/>
      </w:divBdr>
    </w:div>
    <w:div w:id="20432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2/chapter-IV/subchapter-C/part-441/subpart-G/section-441.3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wxCx2SVMeUO5euJIk4zBexYhx72eCp5JugpNzeIRS3pUNTJFNkZNRVE3MExQQ0RCMkpKVzJZNUVaOS4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wxCx2SVMeUO5euJIk4zBexYhx72eCp5JugpNzeIRS3pUNTJFNkZNRVE3MExQQ0RCMkpKVzJZNUVaOS4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PCG_General">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Ma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G_General" id="{0649EC4F-CF50-41EA-93A7-4FA30A371B57}" vid="{4D80F105-C3FC-4983-BA3D-BE93590C2D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CEF26644D54546B79DFCBFDE52F490" ma:contentTypeVersion="6" ma:contentTypeDescription="Create a new document." ma:contentTypeScope="" ma:versionID="c3d67246daf5f430cb95981e3c5065ba">
  <xsd:schema xmlns:xsd="http://www.w3.org/2001/XMLSchema" xmlns:xs="http://www.w3.org/2001/XMLSchema" xmlns:p="http://schemas.microsoft.com/office/2006/metadata/properties" xmlns:ns2="9d259a09-0d1e-45a3-ac37-81773eb8931f" xmlns:ns3="d7980b44-0748-45d4-b061-35814e9d29e9" targetNamespace="http://schemas.microsoft.com/office/2006/metadata/properties" ma:root="true" ma:fieldsID="c63c29d34ba2eb531e1e78dd0bb3eed5" ns2:_="" ns3:_="">
    <xsd:import namespace="9d259a09-0d1e-45a3-ac37-81773eb8931f"/>
    <xsd:import namespace="d7980b44-0748-45d4-b061-35814e9d29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59a09-0d1e-45a3-ac37-81773eb89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980b44-0748-45d4-b061-35814e9d29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5D8F5-4BBE-48E1-8304-E438F97CC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69DA7-AE7B-401A-9071-6694BE8B1078}">
  <ds:schemaRefs>
    <ds:schemaRef ds:uri="http://schemas.microsoft.com/sharepoint/v3/contenttype/forms"/>
  </ds:schemaRefs>
</ds:datastoreItem>
</file>

<file path=customXml/itemProps3.xml><?xml version="1.0" encoding="utf-8"?>
<ds:datastoreItem xmlns:ds="http://schemas.openxmlformats.org/officeDocument/2006/customXml" ds:itemID="{84A4AB3C-36AC-4F52-92BD-C4F0F7C8612E}">
  <ds:schemaRefs>
    <ds:schemaRef ds:uri="http://schemas.openxmlformats.org/officeDocument/2006/bibliography"/>
  </ds:schemaRefs>
</ds:datastoreItem>
</file>

<file path=customXml/itemProps4.xml><?xml version="1.0" encoding="utf-8"?>
<ds:datastoreItem xmlns:ds="http://schemas.openxmlformats.org/officeDocument/2006/customXml" ds:itemID="{E89F09B5-D0FE-4DDB-83A2-EE84EA956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59a09-0d1e-45a3-ac37-81773eb8931f"/>
    <ds:schemaRef ds:uri="d7980b44-0748-45d4-b061-35814e9d2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Benjamin</dc:creator>
  <cp:keywords/>
  <dc:description/>
  <cp:lastModifiedBy>Jamie Katsbulas [KDADS]</cp:lastModifiedBy>
  <cp:revision>2</cp:revision>
  <cp:lastPrinted>2019-05-30T15:01:00Z</cp:lastPrinted>
  <dcterms:created xsi:type="dcterms:W3CDTF">2024-01-16T14:36:00Z</dcterms:created>
  <dcterms:modified xsi:type="dcterms:W3CDTF">2024-01-16T14:36:00Z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0x01010008CEF26644D54546B79DFCBFDE52F490</vt:lpwstr>
  </property>
  <property fmtid="{D5CDD505-2E9C-101B-9397-08002B2CF9AE}" pid="3" name="_dlc_DocIdItemGuid">
    <vt:lpwstr>296ceb79-7491-4428-bb11-098848da8c76</vt:lpwstr>
  </property>
  <property fmtid="{D5CDD505-2E9C-101B-9397-08002B2CF9AE}" pid="4" name="CORP-Tags">
    <vt:lpwstr/>
  </property>
  <property fmtid="{D5CDD505-2E9C-101B-9397-08002B2CF9AE}" pid="5" name="CORP-Department">
    <vt:lpwstr/>
  </property>
  <property fmtid="{D5CDD505-2E9C-101B-9397-08002B2CF9AE}" pid="6" name="CORP-DocumentType">
    <vt:lpwstr/>
  </property>
  <property fmtid="{D5CDD505-2E9C-101B-9397-08002B2CF9AE}" pid="7" name="Practice Area Site Column">
    <vt:lpwstr/>
  </property>
  <property fmtid="{D5CDD505-2E9C-101B-9397-08002B2CF9AE}" pid="8" name="MediaServiceImageTags">
    <vt:lpwstr/>
  </property>
</Properties>
</file>